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djustRightInd w:val="0"/>
        <w:snapToGrid w:val="0"/>
        <w:spacing w:line="160" w:lineRule="atLeast"/>
        <w:jc w:val="center"/>
        <w:rPr>
          <w:rFonts w:ascii="方正小标宋_GBK" w:eastAsia="方正小标宋_GBK" w:cs="Times New Roman"/>
          <w:kern w:val="2"/>
          <w:sz w:val="44"/>
          <w:szCs w:val="44"/>
        </w:rPr>
      </w:pPr>
      <w:r>
        <w:rPr>
          <w:rFonts w:ascii="方正小标宋_GBK" w:eastAsia="方正小标宋_GBK" w:cs="Times New Roman" w:hint="eastAsia"/>
          <w:kern w:val="2"/>
          <w:sz w:val="44"/>
          <w:szCs w:val="44"/>
        </w:rPr>
        <w:t>青岛大港海关2025年政府信息公开工作</w:t>
      </w:r>
    </w:p>
    <w:p>
      <w:pPr>
        <w:adjustRightInd w:val="0"/>
        <w:snapToGrid w:val="0"/>
        <w:spacing w:line="160" w:lineRule="atLeast"/>
        <w:jc w:val="center"/>
        <w:rPr>
          <w:rFonts w:ascii="方正小标宋_GBK" w:eastAsia="方正小标宋_GBK" w:cs="Times New Roman" w:hint="eastAsia"/>
          <w:kern w:val="2"/>
          <w:sz w:val="44"/>
          <w:szCs w:val="44"/>
        </w:rPr>
      </w:pPr>
      <w:r>
        <w:rPr>
          <w:rFonts w:ascii="方正小标宋_GBK" w:eastAsia="方正小标宋_GBK" w:cs="Times New Roman" w:hint="eastAsia"/>
          <w:kern w:val="2"/>
          <w:sz w:val="44"/>
          <w:szCs w:val="44"/>
        </w:rPr>
        <w:t>年度报告</w:t>
      </w:r>
    </w:p>
    <w:p>
      <w:pPr>
        <w:adjustRightInd w:val="0"/>
        <w:snapToGrid w:val="0"/>
        <w:spacing w:line="560" w:lineRule="exact"/>
        <w:ind w:firstLineChars="200" w:firstLine="632"/>
        <w:jc w:val="left"/>
        <w:rPr>
          <w:rFonts w:eastAsia="方正仿宋_GBK" w:cs="Times New Roman"/>
          <w:color w:val="000000"/>
        </w:rPr>
      </w:pPr>
    </w:p>
    <w:p>
      <w:pPr>
        <w:adjustRightInd w:val="0"/>
        <w:snapToGrid w:val="0"/>
        <w:spacing w:line="560" w:lineRule="exact"/>
        <w:ind w:firstLineChars="200" w:firstLine="632"/>
        <w:jc w:val="left"/>
        <w:rPr>
          <w:rFonts w:eastAsia="方正仿宋_GBK" w:hint="eastAsia"/>
          <w:color w:val="000000"/>
        </w:rPr>
      </w:pPr>
      <w:r>
        <w:rPr>
          <w:rFonts w:eastAsia="方正仿宋_GBK" w:cs="Times New Roman" w:hint="eastAsia"/>
          <w:color w:val="000000"/>
        </w:rPr>
        <w:t>本报告根据《中华人民共和国政府信息公开条例》</w:t>
      </w:r>
      <w:r>
        <w:rPr>
          <w:rFonts w:eastAsia="方正仿宋_GBK" w:cs="Times New Roman"/>
          <w:color w:val="000000"/>
        </w:rPr>
        <w:t>（以下简称《条例》）、</w:t>
      </w:r>
      <w:r>
        <w:rPr>
          <w:rFonts w:eastAsia="方正仿宋_GBK" w:cs="Times New Roman" w:hint="eastAsia"/>
          <w:color w:val="000000"/>
        </w:rPr>
        <w:t>《国务院办公厅政府信息与政务公开办公室关于印发〈中华人民共和国政府信息公开工作年度报告格式〉的通知》（国办公开办函〔2021〕30号）等有关规定，总结2025年青岛大港海关政府信息公开工作情况编制而成。报告中所列数据的统计期限自2025年1月1日至2025年12月31日。如对本报告有任何疑问，请与青岛大港海关办公室联系（地址：青岛市新疆路18号，邮政编码：266011，联系电话：0532-80881000，电子邮箱：qddghg_zwgk@customs.gov.cn）。</w:t>
      </w:r>
    </w:p>
    <w:p>
      <w:pPr>
        <w:adjustRightInd w:val="0"/>
        <w:snapToGrid w:val="0"/>
        <w:spacing w:line="560" w:lineRule="exact"/>
        <w:ind w:firstLineChars="200" w:firstLine="632"/>
        <w:jc w:val="left"/>
        <w:rPr>
          <w:rFonts w:ascii="方正黑体_GBK" w:eastAsia="方正黑体_GBK" w:cs="Times New Roman" w:hint="eastAsia"/>
          <w:color w:val="000000"/>
        </w:rPr>
      </w:pPr>
      <w:r>
        <w:rPr>
          <w:rStyle w:val="0"/>
          <w:rFonts w:ascii="方正黑体_GBK" w:eastAsia="方正黑体_GBK" w:cs="Times New Roman" w:hint="eastAsia"/>
          <w:bCs/>
          <w:color w:val="000000"/>
        </w:rPr>
        <w:t>一、总体情况</w:t>
      </w:r>
    </w:p>
    <w:p>
      <w:pPr>
        <w:adjustRightInd w:val="0"/>
        <w:snapToGrid w:val="0"/>
        <w:spacing w:line="560" w:lineRule="exact"/>
        <w:ind w:firstLineChars="200" w:firstLine="632"/>
        <w:jc w:val="left"/>
        <w:rPr>
          <w:rFonts w:eastAsia="方正仿宋_GBK" w:hint="eastAsia"/>
          <w:color w:val="000000"/>
        </w:rPr>
      </w:pPr>
      <w:r>
        <w:rPr>
          <w:rFonts w:eastAsia="方正仿宋_GBK" w:hint="eastAsia"/>
          <w:color w:val="000000"/>
        </w:rPr>
        <w:t>2025年，青岛大港海关坚持以习近平新时代中国特色社会主义思想为指导，全面贯彻落实《条例》</w:t>
      </w:r>
      <w:r>
        <w:rPr>
          <w:rFonts w:eastAsia="方正仿宋_GBK"/>
          <w:color w:val="000000"/>
        </w:rPr>
        <w:t>规定</w:t>
      </w:r>
      <w:r>
        <w:rPr>
          <w:rFonts w:eastAsia="方正仿宋_GBK" w:hint="eastAsia"/>
          <w:color w:val="000000"/>
        </w:rPr>
        <w:t>，紧紧围绕海关总署、青岛海关关于推进政务公开工作系列决策部署，全面推进政务公开与基层治理深度融合加强政府信息公开发布的力度和时效，着力提升信息公开质量。</w:t>
      </w:r>
    </w:p>
    <w:p>
      <w:pPr>
        <w:adjustRightInd w:val="0"/>
        <w:snapToGrid w:val="0"/>
        <w:spacing w:line="560" w:lineRule="exact"/>
        <w:ind w:firstLineChars="200" w:firstLine="632"/>
        <w:jc w:val="left"/>
        <w:rPr>
          <w:rFonts w:eastAsia="方正仿宋_GBK" w:hint="eastAsia"/>
          <w:color w:val="000000"/>
        </w:rPr>
      </w:pPr>
      <w:r>
        <w:rPr>
          <w:rFonts w:ascii="方正楷体_GBK" w:eastAsia="方正楷体_GBK" w:hint="eastAsia"/>
          <w:color w:val="000000"/>
        </w:rPr>
        <w:t>（一）基层政务公开标准化规范化工作落实方面。</w:t>
      </w:r>
      <w:r>
        <w:rPr>
          <w:rFonts w:eastAsia="方正仿宋_GBK" w:hint="eastAsia"/>
          <w:color w:val="000000"/>
        </w:rPr>
        <w:t>结合本级权责清单和公共服务事项清单，动态修订政务公开事项标准目录，明确公开事项内容、依据、时限等8项核心要素，做到依法依规，及时高效；聚焦业务特点和企业群众实际需求，在新疆路办公区报关大厅、城阳办公区、综保区和邮轮母港旅检现场各设置包含6个功能区在内的政务公开专区，定期更新政策推送，切实推动企业群众与关员线上线下高效交流。</w:t>
      </w:r>
    </w:p>
    <w:p>
      <w:pPr>
        <w:adjustRightInd w:val="0"/>
        <w:snapToGrid w:val="0"/>
        <w:spacing w:line="560" w:lineRule="exact"/>
        <w:ind w:firstLineChars="200" w:firstLine="632"/>
        <w:jc w:val="left"/>
        <w:rPr>
          <w:rFonts w:eastAsia="方正仿宋_GBK" w:hint="eastAsia"/>
          <w:color w:val="000000"/>
        </w:rPr>
      </w:pPr>
      <w:r>
        <w:rPr>
          <w:rFonts w:ascii="方正楷体_GBK" w:eastAsia="方正楷体_GBK" w:hint="eastAsia"/>
          <w:color w:val="000000"/>
        </w:rPr>
        <w:t>（二）主动公开方面。</w:t>
      </w:r>
      <w:r>
        <w:rPr>
          <w:rFonts w:eastAsia="方正仿宋_GBK" w:hint="eastAsia"/>
          <w:color w:val="000000"/>
        </w:rPr>
        <w:t>全力推动推进财政、行政执法</w:t>
      </w:r>
      <w:r>
        <w:rPr>
          <w:rFonts w:eastAsia="方正仿宋_GBK"/>
          <w:color w:val="000000"/>
        </w:rPr>
        <w:t>、</w:t>
      </w:r>
      <w:r>
        <w:rPr>
          <w:rFonts w:eastAsia="方正仿宋_GBK" w:hint="eastAsia"/>
          <w:color w:val="000000"/>
        </w:rPr>
        <w:t>“双随机、一公开”等重要领域信息的主动公开。在青岛海关门户网站公开预决算信息4条、行政许可18条、行政处罚16</w:t>
      </w:r>
      <w:r>
        <w:rPr>
          <w:rFonts w:eastAsia="方正仿宋_GBK"/>
          <w:color w:val="000000"/>
        </w:rPr>
        <w:t>1</w:t>
      </w:r>
      <w:r>
        <w:rPr>
          <w:rFonts w:eastAsia="方正仿宋_GBK" w:hint="eastAsia"/>
          <w:color w:val="000000"/>
        </w:rPr>
        <w:t>条</w:t>
      </w:r>
      <w:r>
        <w:rPr>
          <w:rFonts w:ascii="Times New Roman" w:eastAsia="方正仿宋_GBK" w:cs="宋体" w:hAnsi="Times New Roman" w:hint="eastAsia"/>
          <w:snapToGrid w:val="0"/>
          <w:spacing w:val="0"/>
          <w:szCs w:val="32"/>
          <w:lang w:bidi="ar-SA"/>
        </w:rPr>
        <w:t>、行政强制43条</w:t>
      </w:r>
      <w:r>
        <w:rPr>
          <w:rFonts w:eastAsia="方正仿宋_GBK" w:hint="eastAsia"/>
          <w:color w:val="000000"/>
        </w:rPr>
        <w:t>，发布“关长接待日”活动通知12次；在青岛海关12360热线新媒体发布政策解读等稿件18篇；开展“政务公开宣传月”活动，增进社会公众对海关业务职能的了解。</w:t>
      </w:r>
    </w:p>
    <w:p>
      <w:pPr>
        <w:adjustRightInd w:val="0"/>
        <w:snapToGrid w:val="0"/>
        <w:spacing w:line="560" w:lineRule="exact"/>
        <w:ind w:firstLineChars="200" w:firstLine="632"/>
        <w:jc w:val="left"/>
        <w:rPr>
          <w:rFonts w:eastAsia="方正仿宋_GBK"/>
          <w:color w:val="000000"/>
        </w:rPr>
      </w:pPr>
      <w:r>
        <w:rPr>
          <w:rFonts w:ascii="方正楷体_GBK" w:eastAsia="方正楷体_GBK" w:hint="eastAsia"/>
          <w:color w:val="000000"/>
        </w:rPr>
        <w:t>（三）依申请公开方面。</w:t>
      </w:r>
      <w:r>
        <w:rPr>
          <w:rFonts w:eastAsia="方正仿宋_GBK" w:hint="eastAsia"/>
          <w:color w:val="000000"/>
        </w:rPr>
        <w:t>规范依申请公开接收、审查、办理、答复全流程，精准回应公众需求，确保信息公开申请得到规范、高效处理。全年共办理政府信息依申请公开</w:t>
      </w:r>
      <w:r>
        <w:rPr>
          <w:rFonts w:eastAsia="方正仿宋_GBK"/>
          <w:color w:val="000000"/>
        </w:rPr>
        <w:t>2</w:t>
      </w:r>
      <w:r>
        <w:rPr>
          <w:rFonts w:eastAsia="方正仿宋_GBK" w:hint="eastAsia"/>
          <w:color w:val="000000"/>
        </w:rPr>
        <w:t>起，申请内容主要集中在检验检疫证明和海关统计服务等领域，未引起行政复议和行政诉讼情况。</w:t>
      </w:r>
    </w:p>
    <w:p>
      <w:pPr>
        <w:adjustRightInd w:val="0"/>
        <w:snapToGrid w:val="0"/>
        <w:spacing w:line="560" w:lineRule="exact"/>
        <w:ind w:firstLineChars="200" w:firstLine="632"/>
        <w:jc w:val="left"/>
        <w:rPr>
          <w:rFonts w:eastAsia="方正仿宋_GBK" w:cs="Times New Roman" w:hint="eastAsia"/>
          <w:color w:val="000000"/>
        </w:rPr>
      </w:pPr>
      <w:r>
        <w:rPr>
          <w:rFonts w:ascii="方正楷体_GBK" w:eastAsia="方正楷体_GBK" w:hint="eastAsia"/>
          <w:color w:val="000000"/>
        </w:rPr>
        <w:t>（四）政府信息管理方面。</w:t>
      </w:r>
      <w:r>
        <w:rPr>
          <w:rFonts w:eastAsia="方正仿宋_GBK" w:cs="Times New Roman" w:hint="eastAsia"/>
          <w:color w:val="000000"/>
        </w:rPr>
        <w:t>严格执行信息公开保密审查制度，加强对公开信息发布内容的审查，保障信息的准确性和权威性；依照</w:t>
      </w:r>
      <w:r>
        <w:rPr>
          <w:rFonts w:eastAsia="方正仿宋_GBK" w:cs="Times New Roman"/>
          <w:color w:val="000000"/>
        </w:rPr>
        <w:t>相关规定</w:t>
      </w:r>
      <w:r>
        <w:rPr>
          <w:rFonts w:eastAsia="方正仿宋_GBK" w:cs="Times New Roman" w:hint="eastAsia"/>
          <w:color w:val="000000"/>
        </w:rPr>
        <w:t>，在规定时间内准确公开相关信息。</w:t>
      </w:r>
    </w:p>
    <w:p>
      <w:pPr>
        <w:adjustRightInd w:val="0"/>
        <w:snapToGrid w:val="0"/>
        <w:spacing w:line="560" w:lineRule="exact"/>
        <w:ind w:firstLineChars="200" w:firstLine="632"/>
        <w:jc w:val="left"/>
        <w:rPr>
          <w:rFonts w:eastAsia="方正仿宋_GBK" w:cs="Times New Roman" w:hint="eastAsia"/>
          <w:color w:val="000000"/>
        </w:rPr>
      </w:pPr>
      <w:r>
        <w:rPr>
          <w:rFonts w:ascii="方正楷体_GBK" w:eastAsia="方正楷体_GBK" w:hint="eastAsia"/>
          <w:color w:val="000000"/>
        </w:rPr>
        <w:t>（五）政府信息公开平台建设方面。</w:t>
      </w:r>
      <w:r>
        <w:rPr>
          <w:rFonts w:eastAsia="方正仿宋_GBK" w:cs="Times New Roman" w:hint="eastAsia"/>
          <w:color w:val="000000"/>
        </w:rPr>
        <w:t>定期维护、更新“云上办事一扫通”二维码矩阵图内容，方便公众通过扫码迅速获取各业务条线办事指南和咨询电话等。充分发挥政务公开电话桥梁纽带作用，在线答复企业群众咨询1</w:t>
      </w:r>
      <w:r>
        <w:rPr>
          <w:rFonts w:eastAsia="方正仿宋_GBK" w:cs="Times New Roman"/>
          <w:color w:val="000000"/>
        </w:rPr>
        <w:t>5</w:t>
      </w:r>
      <w:r>
        <w:rPr>
          <w:rFonts w:eastAsia="方正仿宋_GBK" w:cs="Times New Roman" w:hint="eastAsia"/>
          <w:color w:val="000000"/>
        </w:rPr>
        <w:t>00余次，</w:t>
      </w:r>
      <w:r>
        <w:rPr>
          <w:rFonts w:eastAsia="方正仿宋_GBK" w:cs="Times New Roman"/>
          <w:color w:val="000000"/>
        </w:rPr>
        <w:t>及时回应</w:t>
      </w:r>
      <w:r>
        <w:rPr>
          <w:rFonts w:eastAsia="方正仿宋_GBK" w:cs="Times New Roman" w:hint="eastAsia"/>
          <w:color w:val="000000"/>
        </w:rPr>
        <w:t>群众诉求，不断提升服务效能和群众满意度。</w:t>
      </w:r>
    </w:p>
    <w:p>
      <w:pPr>
        <w:adjustRightInd w:val="0"/>
        <w:snapToGrid w:val="0"/>
        <w:spacing w:line="560" w:lineRule="exact"/>
        <w:ind w:firstLineChars="200" w:firstLine="632"/>
        <w:jc w:val="left"/>
        <w:rPr>
          <w:rFonts w:eastAsia="方正仿宋_GBK" w:cs="Times New Roman" w:hint="eastAsia"/>
          <w:color w:val="000000"/>
        </w:rPr>
      </w:pPr>
      <w:r>
        <w:rPr>
          <w:rFonts w:ascii="方正楷体_GBK" w:eastAsia="方正楷体_GBK" w:hint="eastAsia"/>
          <w:color w:val="000000"/>
        </w:rPr>
        <w:t>（六）政府信息监督保障方面。</w:t>
      </w:r>
      <w:r>
        <w:rPr>
          <w:rFonts w:eastAsia="方正仿宋_GBK" w:cs="Times New Roman" w:hint="eastAsia"/>
          <w:color w:val="000000"/>
        </w:rPr>
        <w:t>定期</w:t>
      </w:r>
      <w:r>
        <w:rPr>
          <w:rFonts w:eastAsia="方正仿宋_GBK" w:cs="Times New Roman"/>
          <w:color w:val="000000"/>
        </w:rPr>
        <w:t>开展自查，检查</w:t>
      </w:r>
      <w:r>
        <w:rPr>
          <w:rFonts w:eastAsia="方正仿宋_GBK" w:cs="Times New Roman" w:hint="eastAsia"/>
          <w:color w:val="000000"/>
        </w:rPr>
        <w:t>发布在青岛海关门户网站上的政府信息公开内容，重点</w:t>
      </w:r>
      <w:r>
        <w:rPr>
          <w:rFonts w:eastAsia="方正仿宋_GBK" w:cs="Times New Roman"/>
          <w:color w:val="000000"/>
        </w:rPr>
        <w:t>关注</w:t>
      </w:r>
      <w:r>
        <w:rPr>
          <w:rFonts w:eastAsia="方正仿宋_GBK" w:cs="Times New Roman" w:hint="eastAsia"/>
          <w:color w:val="000000"/>
        </w:rPr>
        <w:t>公开信息涉个人隐私事项、公开审查情况、“双公示”信息发布规范情况及对外公开期限设置情况</w:t>
      </w:r>
      <w:r>
        <w:rPr>
          <w:rFonts w:eastAsia="方正仿宋_GBK" w:cs="Times New Roman"/>
          <w:color w:val="000000"/>
        </w:rPr>
        <w:t>等</w:t>
      </w:r>
      <w:r>
        <w:rPr>
          <w:rFonts w:eastAsia="方正仿宋_GBK" w:cs="Times New Roman" w:hint="eastAsia"/>
          <w:color w:val="000000"/>
        </w:rPr>
        <w:t>，以问题追踪推动</w:t>
      </w:r>
      <w:r>
        <w:rPr>
          <w:rFonts w:eastAsia="方正仿宋_GBK" w:cs="Times New Roman"/>
          <w:color w:val="000000"/>
        </w:rPr>
        <w:t>相关</w:t>
      </w:r>
      <w:r>
        <w:rPr>
          <w:rFonts w:eastAsia="方正仿宋_GBK" w:cs="Times New Roman" w:hint="eastAsia"/>
          <w:color w:val="000000"/>
        </w:rPr>
        <w:t>部门不断优化公开内容、提升公开质量。</w:t>
      </w:r>
    </w:p>
    <w:p>
      <w:pPr>
        <w:adjustRightInd w:val="0"/>
        <w:snapToGrid w:val="0"/>
        <w:spacing w:line="560" w:lineRule="exact"/>
        <w:ind w:firstLineChars="200" w:firstLine="632"/>
        <w:jc w:val="left"/>
        <w:rPr>
          <w:rStyle w:val="0"/>
          <w:rFonts w:eastAsia="方正仿宋_GBK" w:hint="eastAsia"/>
          <w:bCs/>
          <w:color w:val="000000"/>
        </w:rPr>
      </w:pPr>
      <w:r>
        <w:rPr>
          <w:rFonts w:ascii="方正楷体_GBK" w:eastAsia="方正楷体_GBK" w:cs="Times New Roman" w:hint="eastAsia"/>
          <w:color w:val="000000"/>
        </w:rPr>
        <w:t>（七）政务公开工作亮点方面。</w:t>
      </w:r>
      <w:r>
        <w:rPr>
          <w:rFonts w:eastAsia="方正仿宋_GBK" w:cs="Times New Roman" w:hint="eastAsia"/>
          <w:bCs/>
          <w:color w:val="000000"/>
        </w:rPr>
        <w:t>参与RCEP集中宣传“春风惠企”行动</w:t>
      </w:r>
      <w:r>
        <w:rPr>
          <w:rFonts w:eastAsia="方正仿宋_GBK" w:hint="eastAsia"/>
          <w:bCs/>
          <w:color w:val="000000"/>
        </w:rPr>
        <w:t>，</w:t>
      </w:r>
      <w:r>
        <w:rPr>
          <w:rFonts w:eastAsia="方正仿宋_GBK" w:hint="eastAsia"/>
          <w:bCs/>
          <w:color w:val="000000"/>
          <w:lang w:bidi="ar-SA"/>
        </w:rPr>
        <w:t>对近200家享惠不足企业</w:t>
      </w:r>
      <w:r>
        <w:rPr>
          <w:rFonts w:eastAsia="方正仿宋_GBK" w:hint="eastAsia"/>
          <w:bCs/>
          <w:color w:val="000000"/>
        </w:rPr>
        <w:t>开展政策解读和案例讲解，促进企业享惠用惠。</w:t>
      </w:r>
    </w:p>
    <w:p>
      <w:pPr>
        <w:adjustRightInd w:val="0"/>
        <w:snapToGrid w:val="0"/>
        <w:spacing w:line="560" w:lineRule="exact"/>
        <w:ind w:firstLineChars="200" w:firstLine="632"/>
        <w:jc w:val="left"/>
        <w:rPr>
          <w:rStyle w:val="0"/>
          <w:rFonts w:ascii="方正黑体_GBK" w:eastAsia="方正黑体_GBK" w:cs="Times New Roman" w:hint="eastAsia"/>
          <w:bCs/>
          <w:color w:val="000000"/>
        </w:rPr>
      </w:pPr>
      <w:r>
        <w:rPr>
          <w:rStyle w:val="0"/>
          <w:rFonts w:ascii="方正黑体_GBK" w:eastAsia="方正黑体_GBK" w:cs="Times New Roman" w:hint="eastAsia"/>
          <w:bCs/>
          <w:color w:val="000000"/>
        </w:rPr>
        <w:t>二、主动公开政府信息情况</w:t>
      </w:r>
    </w:p>
    <w:tbl>
      <w:tblPr>
        <w:jc w:val="center"/>
        <w:tblW w:w="4243"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64"/>
        <w:gridCol w:w="1810"/>
        <w:gridCol w:w="1870"/>
        <w:gridCol w:w="1745"/>
      </w:tblGrid>
      <w:tr>
        <w:trPr>
          <w:trHeight w:val="329"/>
        </w:trPr>
        <w:tc>
          <w:tcPr>
            <w:tcW w:w="5000" w:type="pct"/>
            <w:gridSpan w:val="4"/>
            <w:tcBorders>
              <w:top w:val="single" w:sz="4" w:space="0" w:color="auto"/>
              <w:left w:val="single" w:sz="4" w:space="0" w:color="auto"/>
              <w:bottom w:val="single" w:sz="4" w:space="0" w:color="auto"/>
              <w:right w:val="single" w:sz="4" w:space="0" w:color="auto"/>
              <w:tl2br w:val="nil"/>
              <w:tr2bl w:val="nil"/>
            </w:tcBorders>
            <w:shd w:val="clear" w:color="auto" w:fill="C6D9F1"/>
            <w:noWrap/>
            <w:vAlign w:val="center"/>
          </w:tcPr>
          <w:p>
            <w:pPr>
              <w:jc w:val="center"/>
              <w:rPr>
                <w:rFonts w:ascii="宋体" w:eastAsia="宋体" w:hint="eastAsia"/>
                <w:color w:val="333333"/>
                <w:sz w:val="24"/>
              </w:rPr>
            </w:pPr>
            <w:r>
              <w:rPr>
                <w:rFonts w:ascii="宋体" w:eastAsia="宋体" w:hint="eastAsia"/>
                <w:color w:val="333333"/>
                <w:sz w:val="24"/>
              </w:rPr>
              <w:t>第二十条第（一）项</w:t>
            </w:r>
          </w:p>
        </w:tc>
      </w:tr>
      <w:tr>
        <w:trPr>
          <w:trHeight w:val="445"/>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信息内容</w:t>
            </w:r>
          </w:p>
        </w:tc>
        <w:tc>
          <w:tcPr>
            <w:tcW w:w="1177"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本年制发件数</w:t>
            </w:r>
          </w:p>
        </w:tc>
        <w:tc>
          <w:tcPr>
            <w:tcW w:w="1216"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本年废止件数</w:t>
            </w:r>
          </w:p>
        </w:tc>
        <w:tc>
          <w:tcPr>
            <w:tcW w:w="11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现行有效件数</w:t>
            </w:r>
          </w:p>
        </w:tc>
      </w:tr>
      <w:tr>
        <w:trPr>
          <w:trHeight w:val="274"/>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规章</w:t>
            </w:r>
          </w:p>
        </w:tc>
        <w:tc>
          <w:tcPr>
            <w:tcW w:w="1177"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c>
          <w:tcPr>
            <w:tcW w:w="1216"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c>
          <w:tcPr>
            <w:tcW w:w="11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hint="eastAsia"/>
                <w:color w:val="333333"/>
                <w:sz w:val="22"/>
                <w:szCs w:val="22"/>
              </w:rPr>
            </w:pPr>
            <w:r>
              <w:rPr>
                <w:rFonts w:ascii="宋体" w:eastAsia="宋体" w:hint="eastAsia"/>
                <w:color w:val="333333"/>
                <w:sz w:val="22"/>
                <w:szCs w:val="22"/>
              </w:rPr>
              <w:t>行政规范性文件</w:t>
            </w:r>
          </w:p>
        </w:tc>
        <w:tc>
          <w:tcPr>
            <w:tcW w:w="1177"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c>
          <w:tcPr>
            <w:tcW w:w="1216"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c>
          <w:tcPr>
            <w:tcW w:w="11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r>
      <w:tr>
        <w:trPr>
          <w:trHeight w:val="329"/>
        </w:trPr>
        <w:tc>
          <w:tcPr>
            <w:tcW w:w="5000" w:type="pct"/>
            <w:gridSpan w:val="4"/>
            <w:tcBorders>
              <w:top w:val="nil"/>
              <w:left w:val="single" w:sz="4" w:space="0" w:color="auto"/>
              <w:bottom w:val="single" w:sz="4" w:space="0" w:color="auto"/>
              <w:right w:val="single" w:sz="4" w:space="0" w:color="auto"/>
              <w:tl2br w:val="nil"/>
              <w:tr2bl w:val="nil"/>
            </w:tcBorders>
            <w:shd w:val="clear" w:color="auto" w:fill="C6D9F1"/>
            <w:noWrap/>
            <w:vAlign w:val="center"/>
          </w:tcPr>
          <w:p>
            <w:pPr>
              <w:jc w:val="center"/>
              <w:rPr>
                <w:rFonts w:ascii="宋体" w:eastAsia="宋体" w:hint="eastAsia"/>
                <w:color w:val="333333"/>
                <w:sz w:val="24"/>
              </w:rPr>
            </w:pPr>
            <w:r>
              <w:rPr>
                <w:rFonts w:ascii="宋体" w:eastAsia="宋体" w:hint="eastAsia"/>
                <w:color w:val="333333"/>
                <w:sz w:val="24"/>
              </w:rPr>
              <w:t>第二十条第（五）项</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信息内容</w:t>
            </w:r>
          </w:p>
        </w:tc>
        <w:tc>
          <w:tcPr>
            <w:tcW w:w="3527" w:type="pct"/>
            <w:gridSpan w:val="3"/>
            <w:tcBorders>
              <w:top w:val="single" w:sz="4" w:space="0" w:color="auto"/>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本年处理决定数量</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行政许可</w:t>
            </w:r>
          </w:p>
        </w:tc>
        <w:tc>
          <w:tcPr>
            <w:tcW w:w="3527" w:type="pct"/>
            <w:gridSpan w:val="3"/>
            <w:tcBorders>
              <w:top w:val="nil"/>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1</w:t>
            </w:r>
            <w:r>
              <w:rPr>
                <w:rFonts w:ascii="宋体" w:eastAsia="宋体" w:cs="宋体"/>
                <w:color w:val="333333"/>
                <w:sz w:val="22"/>
                <w:szCs w:val="22"/>
              </w:rPr>
              <w:t>8</w:t>
            </w:r>
          </w:p>
        </w:tc>
      </w:tr>
      <w:tr>
        <w:trPr>
          <w:trHeight w:val="329"/>
        </w:trPr>
        <w:tc>
          <w:tcPr>
            <w:tcW w:w="5000" w:type="pct"/>
            <w:gridSpan w:val="4"/>
            <w:tcBorders>
              <w:top w:val="nil"/>
              <w:left w:val="single" w:sz="4" w:space="0" w:color="auto"/>
              <w:bottom w:val="single" w:sz="4" w:space="0" w:color="auto"/>
              <w:right w:val="single" w:sz="4" w:space="0" w:color="auto"/>
              <w:tl2br w:val="nil"/>
              <w:tr2bl w:val="nil"/>
            </w:tcBorders>
            <w:shd w:val="clear" w:color="auto" w:fill="C6D9F1"/>
            <w:noWrap/>
            <w:vAlign w:val="center"/>
          </w:tcPr>
          <w:p>
            <w:pPr>
              <w:jc w:val="center"/>
              <w:rPr>
                <w:rFonts w:ascii="宋体" w:eastAsia="宋体" w:hint="eastAsia"/>
                <w:color w:val="333333"/>
                <w:sz w:val="24"/>
              </w:rPr>
            </w:pPr>
            <w:r>
              <w:rPr>
                <w:rFonts w:ascii="宋体" w:eastAsia="宋体" w:hint="eastAsia"/>
                <w:color w:val="333333"/>
                <w:sz w:val="24"/>
              </w:rPr>
              <w:t>第二十条第（六）项</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信息内容</w:t>
            </w:r>
          </w:p>
        </w:tc>
        <w:tc>
          <w:tcPr>
            <w:tcW w:w="3527" w:type="pct"/>
            <w:gridSpan w:val="3"/>
            <w:tcBorders>
              <w:top w:val="single" w:sz="4" w:space="0" w:color="auto"/>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本年处理决定数量</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行政处罚</w:t>
            </w:r>
          </w:p>
        </w:tc>
        <w:tc>
          <w:tcPr>
            <w:tcW w:w="3527" w:type="pct"/>
            <w:gridSpan w:val="3"/>
            <w:tcBorders>
              <w:top w:val="nil"/>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1</w:t>
            </w:r>
            <w:r>
              <w:rPr>
                <w:rFonts w:ascii="宋体" w:eastAsia="宋体" w:cs="宋体"/>
                <w:color w:val="333333"/>
                <w:sz w:val="22"/>
                <w:szCs w:val="22"/>
              </w:rPr>
              <w:t>61</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行政强制</w:t>
            </w:r>
          </w:p>
        </w:tc>
        <w:tc>
          <w:tcPr>
            <w:tcW w:w="3527" w:type="pct"/>
            <w:gridSpan w:val="3"/>
            <w:tcBorders>
              <w:top w:val="nil"/>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color w:val="333333"/>
                <w:sz w:val="22"/>
                <w:szCs w:val="22"/>
              </w:rPr>
              <w:t>43</w:t>
            </w:r>
          </w:p>
        </w:tc>
      </w:tr>
      <w:tr>
        <w:trPr>
          <w:trHeight w:val="329"/>
        </w:trPr>
        <w:tc>
          <w:tcPr>
            <w:tcW w:w="5000" w:type="pct"/>
            <w:gridSpan w:val="4"/>
            <w:tcBorders>
              <w:top w:val="nil"/>
              <w:left w:val="single" w:sz="4" w:space="0" w:color="auto"/>
              <w:bottom w:val="single" w:sz="4" w:space="0" w:color="auto"/>
              <w:right w:val="single" w:sz="4" w:space="0" w:color="auto"/>
              <w:tl2br w:val="nil"/>
              <w:tr2bl w:val="nil"/>
            </w:tcBorders>
            <w:shd w:val="clear" w:color="auto" w:fill="C6D9F1"/>
            <w:noWrap/>
            <w:vAlign w:val="center"/>
          </w:tcPr>
          <w:p>
            <w:pPr>
              <w:jc w:val="center"/>
              <w:rPr>
                <w:rFonts w:ascii="宋体" w:eastAsia="宋体" w:hint="eastAsia"/>
                <w:color w:val="333333"/>
                <w:sz w:val="24"/>
              </w:rPr>
            </w:pPr>
            <w:r>
              <w:rPr>
                <w:rFonts w:ascii="宋体" w:eastAsia="宋体" w:hint="eastAsia"/>
                <w:color w:val="333333"/>
                <w:sz w:val="24"/>
              </w:rPr>
              <w:t>第二十条第（八）项</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信息内容</w:t>
            </w:r>
          </w:p>
        </w:tc>
        <w:tc>
          <w:tcPr>
            <w:tcW w:w="3527" w:type="pct"/>
            <w:gridSpan w:val="3"/>
            <w:tcBorders>
              <w:top w:val="single" w:sz="4" w:space="0" w:color="auto"/>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本年收费金额（单位：万元）</w:t>
            </w:r>
          </w:p>
        </w:tc>
      </w:tr>
      <w:tr>
        <w:trPr>
          <w:trHeight w:val="329"/>
        </w:trPr>
        <w:tc>
          <w:tcPr>
            <w:tcW w:w="1472" w:type="pct"/>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行政事业性收费</w:t>
            </w:r>
          </w:p>
        </w:tc>
        <w:tc>
          <w:tcPr>
            <w:tcW w:w="3527" w:type="pct"/>
            <w:gridSpan w:val="3"/>
            <w:tcBorders>
              <w:top w:val="nil"/>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cs="宋体" w:hint="eastAsia"/>
                <w:color w:val="333333"/>
                <w:sz w:val="22"/>
                <w:szCs w:val="22"/>
              </w:rPr>
            </w:pPr>
            <w:r>
              <w:rPr>
                <w:rFonts w:ascii="宋体" w:eastAsia="宋体" w:cs="宋体" w:hint="eastAsia"/>
                <w:color w:val="333333"/>
                <w:sz w:val="22"/>
                <w:szCs w:val="22"/>
              </w:rPr>
              <w:t>0</w:t>
            </w:r>
          </w:p>
        </w:tc>
      </w:tr>
    </w:tbl>
    <w:p>
      <w:pPr>
        <w:adjustRightInd w:val="0"/>
        <w:snapToGrid w:val="0"/>
        <w:spacing w:line="560" w:lineRule="exact"/>
        <w:ind w:firstLineChars="200" w:firstLine="632"/>
        <w:jc w:val="left"/>
        <w:rPr>
          <w:rStyle w:val="0"/>
          <w:rFonts w:ascii="方正黑体_GBK" w:eastAsia="方正黑体_GBK" w:cs="Times New Roman" w:hint="eastAsia"/>
          <w:bCs/>
          <w:color w:val="000000"/>
        </w:rPr>
      </w:pPr>
      <w:r>
        <w:rPr>
          <w:rStyle w:val="0"/>
          <w:rFonts w:ascii="方正黑体_GBK" w:eastAsia="方正黑体_GBK" w:cs="Times New Roman" w:hint="eastAsia"/>
          <w:bCs/>
          <w:color w:val="000000"/>
        </w:rPr>
        <w:t>三、收到和处理政府信息公开申请情况</w:t>
      </w:r>
    </w:p>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32"/>
        <w:gridCol w:w="826"/>
        <w:gridCol w:w="2880"/>
        <w:gridCol w:w="789"/>
        <w:gridCol w:w="631"/>
        <w:gridCol w:w="631"/>
        <w:gridCol w:w="789"/>
        <w:gridCol w:w="631"/>
        <w:gridCol w:w="475"/>
        <w:gridCol w:w="375"/>
      </w:tblGrid>
      <w:tr>
        <w:trPr>
          <w:trHeight w:val="329"/>
        </w:trPr>
        <w:tc>
          <w:tcPr>
            <w:tcW w:w="4738" w:type="dxa"/>
            <w:gridSpan w:val="3"/>
            <w:vMerge w:val="restart"/>
            <w:tcBorders>
              <w:top w:val="single" w:sz="4" w:space="0" w:color="auto"/>
              <w:left w:val="single" w:sz="4" w:space="0" w:color="auto"/>
              <w:bottom w:val="nil"/>
              <w:right w:val="single" w:sz="4" w:space="0" w:color="auto"/>
              <w:tl2br w:val="nil"/>
              <w:tr2bl w:val="nil"/>
            </w:tcBorders>
            <w:noWrap/>
            <w:vAlign w:val="center"/>
          </w:tcPr>
          <w:p>
            <w:pPr>
              <w:jc w:val="center"/>
              <w:rPr>
                <w:sz w:val="24"/>
                <w:szCs w:val="24"/>
              </w:rPr>
            </w:pPr>
            <w:r>
              <w:rPr>
                <w:rFonts w:ascii="宋体" w:eastAsia="宋体" w:hint="eastAsia"/>
                <w:color w:val="333333"/>
                <w:sz w:val="24"/>
                <w:szCs w:val="24"/>
              </w:rPr>
              <w:t>（本列数据的勾稽关系为：第一项加第二项之和，等于第三项加第四项之和）</w:t>
            </w:r>
          </w:p>
        </w:tc>
        <w:tc>
          <w:tcPr>
            <w:tcW w:w="4320" w:type="dxa"/>
            <w:gridSpan w:val="7"/>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hint="eastAsia"/>
                <w:color w:val="333333"/>
                <w:sz w:val="24"/>
                <w:szCs w:val="24"/>
              </w:rPr>
              <w:t>申请人情况</w:t>
            </w:r>
          </w:p>
        </w:tc>
      </w:tr>
      <w:tr>
        <w:trPr>
          <w:trHeight w:val="329"/>
        </w:trPr>
        <w:tc>
          <w:tcPr>
            <w:tcW w:w="4737" w:type="dxa"/>
            <w:gridSpan w:val="3"/>
            <w:vMerge/>
            <w:tcBorders>
              <w:top w:val="nil"/>
              <w:left w:val="single" w:sz="4" w:space="0" w:color="auto"/>
              <w:bottom w:val="nil"/>
              <w:right w:val="single" w:sz="4" w:space="0" w:color="auto"/>
              <w:tl2br w:val="nil"/>
              <w:tr2bl w:val="nil"/>
            </w:tcBorders>
            <w:noWrap/>
            <w:vAlign w:val="center"/>
          </w:tcPr>
          <w:p/>
        </w:tc>
        <w:tc>
          <w:tcPr>
            <w:tcW w:w="789" w:type="dxa"/>
            <w:vMerge w:val="restart"/>
            <w:tcBorders>
              <w:top w:val="single" w:sz="4" w:space="0" w:color="auto"/>
              <w:left w:val="single" w:sz="4" w:space="0" w:color="auto"/>
              <w:bottom w:val="nil"/>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自然人</w:t>
            </w:r>
          </w:p>
        </w:tc>
        <w:tc>
          <w:tcPr>
            <w:tcW w:w="3157" w:type="dxa"/>
            <w:gridSpan w:val="5"/>
            <w:tcBorders>
              <w:top w:val="single" w:sz="4" w:space="0" w:color="auto"/>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法人或其他组织</w:t>
            </w:r>
          </w:p>
        </w:tc>
        <w:tc>
          <w:tcPr>
            <w:tcW w:w="375" w:type="dxa"/>
            <w:vMerge w:val="restart"/>
            <w:tcBorders>
              <w:top w:val="single" w:sz="4" w:space="0" w:color="auto"/>
              <w:left w:val="outset" w:sz="6" w:space="0" w:color="auto"/>
              <w:bottom w:val="nil"/>
              <w:right w:val="outset" w:sz="6" w:space="0" w:color="auto"/>
              <w:tl2br w:val="nil"/>
              <w:tr2bl w:val="nil"/>
            </w:tcBorders>
            <w:noWrap/>
            <w:vAlign w:val="center"/>
          </w:tcPr>
          <w:p>
            <w:pPr>
              <w:jc w:val="center"/>
              <w:rPr>
                <w:sz w:val="24"/>
                <w:szCs w:val="24"/>
              </w:rPr>
            </w:pPr>
            <w:r>
              <w:rPr>
                <w:rFonts w:ascii="宋体" w:eastAsia="宋体" w:hint="eastAsia"/>
                <w:color w:val="333333"/>
                <w:sz w:val="24"/>
                <w:szCs w:val="24"/>
              </w:rPr>
              <w:t>总计</w:t>
            </w:r>
          </w:p>
        </w:tc>
      </w:tr>
      <w:tr>
        <w:trPr>
          <w:trHeight w:val="329"/>
        </w:trPr>
        <w:tc>
          <w:tcPr>
            <w:tcW w:w="4737" w:type="dxa"/>
            <w:gridSpan w:val="3"/>
            <w:vMerge/>
            <w:tcBorders>
              <w:top w:val="nil"/>
              <w:left w:val="single" w:sz="4" w:space="0" w:color="auto"/>
              <w:bottom w:val="single" w:sz="4" w:space="0" w:color="auto"/>
              <w:right w:val="single" w:sz="4" w:space="0" w:color="auto"/>
              <w:tl2br w:val="nil"/>
              <w:tr2bl w:val="nil"/>
            </w:tcBorders>
            <w:noWrap/>
            <w:vAlign w:val="center"/>
          </w:tcPr>
          <w:p/>
        </w:tc>
        <w:tc>
          <w:tcPr>
            <w:tcW w:w="789" w:type="dxa"/>
            <w:vMerge/>
            <w:tcBorders>
              <w:top w:val="nil"/>
              <w:left w:val="single" w:sz="4" w:space="0" w:color="auto"/>
              <w:bottom w:val="outset" w:sz="6" w:space="0" w:color="auto"/>
              <w:right w:val="outset" w:sz="6" w:space="0" w:color="auto"/>
              <w:tl2br w:val="nil"/>
              <w:tr2bl w:val="nil"/>
            </w:tcBorders>
            <w:noWrap/>
            <w:vAlign w:val="center"/>
          </w:tcPr>
          <w:p/>
        </w:tc>
        <w:tc>
          <w:tcPr>
            <w:tcW w:w="631"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商业企业</w:t>
            </w:r>
          </w:p>
        </w:tc>
        <w:tc>
          <w:tcPr>
            <w:tcW w:w="631"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科研机构</w:t>
            </w:r>
          </w:p>
        </w:tc>
        <w:tc>
          <w:tcPr>
            <w:tcW w:w="78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社会公益组织</w:t>
            </w:r>
          </w:p>
        </w:tc>
        <w:tc>
          <w:tcPr>
            <w:tcW w:w="631"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法律服务机构</w:t>
            </w:r>
          </w:p>
        </w:tc>
        <w:tc>
          <w:tcPr>
            <w:tcW w:w="474"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sz w:val="24"/>
                <w:szCs w:val="24"/>
              </w:rPr>
            </w:pPr>
            <w:r>
              <w:rPr>
                <w:rFonts w:ascii="宋体" w:eastAsia="宋体" w:hint="eastAsia"/>
                <w:color w:val="333333"/>
                <w:sz w:val="24"/>
                <w:szCs w:val="24"/>
              </w:rPr>
              <w:t>其他</w:t>
            </w:r>
          </w:p>
        </w:tc>
        <w:tc>
          <w:tcPr>
            <w:tcW w:w="375" w:type="dxa"/>
            <w:vMerge/>
            <w:tcBorders>
              <w:top w:val="nil"/>
              <w:left w:val="outset" w:sz="6" w:space="0" w:color="auto"/>
              <w:bottom w:val="outset" w:sz="6" w:space="0" w:color="auto"/>
              <w:right w:val="outset" w:sz="6" w:space="0" w:color="auto"/>
              <w:tl2br w:val="nil"/>
              <w:tr2bl w:val="nil"/>
            </w:tcBorders>
            <w:noWrap/>
            <w:vAlign w:val="center"/>
          </w:tcPr>
          <w:p/>
        </w:tc>
      </w:tr>
      <w:tr>
        <w:trPr>
          <w:trHeight w:val="329"/>
        </w:trPr>
        <w:tc>
          <w:tcPr>
            <w:tcW w:w="473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一、本年新收政府信息公开申请数量</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2</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2</w:t>
            </w:r>
          </w:p>
        </w:tc>
      </w:tr>
      <w:tr>
        <w:trPr>
          <w:trHeight w:val="329"/>
        </w:trPr>
        <w:tc>
          <w:tcPr>
            <w:tcW w:w="4738" w:type="dxa"/>
            <w:gridSpan w:val="3"/>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二、上年结转政府信息公开申请数量</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val="restart"/>
            <w:tcBorders>
              <w:top w:val="single" w:sz="4" w:space="0" w:color="auto"/>
              <w:left w:val="single" w:sz="4" w:space="0" w:color="auto"/>
              <w:bottom w:val="nil"/>
              <w:right w:val="single" w:sz="4" w:space="0" w:color="auto"/>
              <w:tl2br w:val="nil"/>
              <w:tr2bl w:val="nil"/>
            </w:tcBorders>
            <w:noWrap/>
            <w:vAlign w:val="center"/>
          </w:tcPr>
          <w:p>
            <w:pPr>
              <w:adjustRightInd w:val="0"/>
              <w:snapToGrid w:val="0"/>
              <w:spacing w:line="160" w:lineRule="atLeast"/>
              <w:jc w:val="center"/>
              <w:rPr>
                <w:rFonts w:ascii="宋体" w:eastAsia="宋体" w:hint="eastAsia"/>
                <w:color w:val="333333"/>
                <w:sz w:val="24"/>
                <w:szCs w:val="24"/>
              </w:rPr>
            </w:pPr>
            <w:r>
              <w:rPr>
                <w:rFonts w:ascii="宋体" w:eastAsia="宋体" w:hint="eastAsia"/>
                <w:color w:val="333333"/>
                <w:sz w:val="24"/>
                <w:szCs w:val="24"/>
              </w:rPr>
              <w:t>三、本年度办理结果</w:t>
            </w:r>
          </w:p>
        </w:tc>
        <w:tc>
          <w:tcPr>
            <w:tcW w:w="3705" w:type="dxa"/>
            <w:gridSpan w:val="2"/>
            <w:tcBorders>
              <w:top w:val="single" w:sz="4" w:space="0" w:color="auto"/>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（一）予以公开</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3705" w:type="dxa"/>
            <w:gridSpan w:val="2"/>
            <w:tcBorders>
              <w:top w:val="nil"/>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（二）部分公开（区分处理的，只计这一情形，不计其他情形）</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1</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1</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val="restart"/>
            <w:tcBorders>
              <w:top w:val="nil"/>
              <w:left w:val="single" w:sz="4" w:space="0" w:color="auto"/>
              <w:bottom w:val="nil"/>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（三）不予公开</w:t>
            </w: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1.属于国家秘密</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2.其他法律行政法规禁止公开</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10"/>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3.危及“三安全一稳定”</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4.保护第三方合法权益</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5.属于三类内部事务信息</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6.属于四类过程性信息</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7.属于行政执法案卷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outset" w:sz="6" w:space="0" w:color="auto"/>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8.属于行政查询事项</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32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val="restart"/>
            <w:tcBorders>
              <w:top w:val="outset" w:sz="6" w:space="0" w:color="auto"/>
              <w:left w:val="single" w:sz="4" w:space="0" w:color="auto"/>
              <w:bottom w:val="nil"/>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（四）无法提供</w:t>
            </w: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1.本机关不掌握相关政府信息</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1</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1</w:t>
            </w:r>
          </w:p>
        </w:tc>
      </w:tr>
      <w:tr>
        <w:trPr>
          <w:trHeight w:val="760"/>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2.没有现成信息需要另行制作</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475"/>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outset" w:sz="6" w:space="0" w:color="auto"/>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3.补正后申请内容仍不明确</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474"/>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val="restart"/>
            <w:tcBorders>
              <w:top w:val="outset" w:sz="6" w:space="0" w:color="auto"/>
              <w:left w:val="single" w:sz="4" w:space="0" w:color="auto"/>
              <w:bottom w:val="nil"/>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（五）不予处理</w:t>
            </w: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1.信访举报投诉类申请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473"/>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2.重复申请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458"/>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3.要求提供公开出版物</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428"/>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4.无正当理由大量反复申请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702"/>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outset" w:sz="6" w:space="0" w:color="auto"/>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5.要求行政机关确认或重新出具已获取信息</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854"/>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val="restart"/>
            <w:tcBorders>
              <w:top w:val="outset" w:sz="6" w:space="0" w:color="auto"/>
              <w:left w:val="single" w:sz="4" w:space="0" w:color="auto"/>
              <w:bottom w:val="nil"/>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（六）其他处理</w:t>
            </w: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1.申请人无正当理由逾期不补正、行政机关不再处理其政府信息公开申请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854"/>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2.申请人逾期未按收费通知要求缴纳费用、行政机关不再处理其政府信息公开申请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564"/>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nil"/>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3.咨询事项，指引咨询渠道</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549"/>
        </w:trPr>
        <w:tc>
          <w:tcPr>
            <w:tcW w:w="1032" w:type="dxa"/>
            <w:vMerge/>
            <w:tcBorders>
              <w:top w:val="nil"/>
              <w:left w:val="single" w:sz="4" w:space="0" w:color="auto"/>
              <w:bottom w:val="nil"/>
              <w:right w:val="single" w:sz="4" w:space="0" w:color="auto"/>
              <w:tl2br w:val="nil"/>
              <w:tr2bl w:val="nil"/>
            </w:tcBorders>
            <w:noWrap/>
            <w:vAlign w:val="center"/>
          </w:tcPr>
          <w:p/>
        </w:tc>
        <w:tc>
          <w:tcPr>
            <w:tcW w:w="826" w:type="dxa"/>
            <w:vMerge/>
            <w:tcBorders>
              <w:top w:val="nil"/>
              <w:left w:val="single" w:sz="4" w:space="0" w:color="auto"/>
              <w:bottom w:val="outset" w:sz="6" w:space="0" w:color="auto"/>
              <w:right w:val="outset" w:sz="6" w:space="0" w:color="auto"/>
              <w:tl2br w:val="nil"/>
              <w:tr2bl w:val="nil"/>
            </w:tcBorders>
            <w:noWrap/>
            <w:vAlign w:val="center"/>
          </w:tcPr>
          <w:p/>
        </w:tc>
        <w:tc>
          <w:tcPr>
            <w:tcW w:w="2879" w:type="dxa"/>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4.申请人撤销申请</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r>
        <w:trPr>
          <w:trHeight w:val="284"/>
        </w:trPr>
        <w:tc>
          <w:tcPr>
            <w:tcW w:w="1032" w:type="dxa"/>
            <w:vMerge/>
            <w:tcBorders>
              <w:top w:val="nil"/>
              <w:left w:val="single" w:sz="4" w:space="0" w:color="auto"/>
              <w:bottom w:val="single" w:sz="4" w:space="0" w:color="auto"/>
              <w:right w:val="single" w:sz="4" w:space="0" w:color="auto"/>
              <w:tl2br w:val="nil"/>
              <w:tr2bl w:val="nil"/>
            </w:tcBorders>
            <w:noWrap/>
            <w:vAlign w:val="center"/>
          </w:tcPr>
          <w:p/>
        </w:tc>
        <w:tc>
          <w:tcPr>
            <w:tcW w:w="3705" w:type="dxa"/>
            <w:gridSpan w:val="2"/>
            <w:tcBorders>
              <w:top w:val="outset" w:sz="6" w:space="0" w:color="auto"/>
              <w:left w:val="single" w:sz="4" w:space="0" w:color="auto"/>
              <w:bottom w:val="outset" w:sz="6" w:space="0" w:color="auto"/>
              <w:right w:val="outset" w:sz="6"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（七）总计</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2</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2</w:t>
            </w:r>
          </w:p>
        </w:tc>
      </w:tr>
      <w:tr>
        <w:trPr>
          <w:trHeight w:val="284"/>
        </w:trPr>
        <w:tc>
          <w:tcPr>
            <w:tcW w:w="4738" w:type="dxa"/>
            <w:gridSpan w:val="3"/>
            <w:tcBorders>
              <w:top w:val="nil"/>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rPr>
                <w:rFonts w:ascii="宋体" w:eastAsia="宋体" w:hint="eastAsia"/>
                <w:color w:val="333333"/>
                <w:sz w:val="24"/>
                <w:szCs w:val="24"/>
              </w:rPr>
            </w:pPr>
            <w:r>
              <w:rPr>
                <w:rFonts w:ascii="宋体" w:eastAsia="宋体" w:hint="eastAsia"/>
                <w:color w:val="333333"/>
                <w:sz w:val="24"/>
                <w:szCs w:val="24"/>
              </w:rPr>
              <w:t>四、结转下年度继续办理</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789"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631"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474"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75" w:type="dxa"/>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bl>
    <w:p>
      <w:pPr>
        <w:adjustRightInd w:val="0"/>
        <w:snapToGrid w:val="0"/>
        <w:spacing w:line="560" w:lineRule="exact"/>
        <w:ind w:firstLineChars="200" w:firstLine="632"/>
        <w:jc w:val="left"/>
        <w:rPr>
          <w:rStyle w:val="0"/>
          <w:rFonts w:ascii="方正黑体_GBK" w:eastAsia="方正黑体_GBK" w:cs="Times New Roman" w:hint="eastAsia"/>
          <w:bCs/>
          <w:color w:val="000000"/>
        </w:rPr>
      </w:pPr>
      <w:r>
        <w:rPr>
          <w:rStyle w:val="0"/>
          <w:rFonts w:ascii="方正黑体_GBK" w:eastAsia="方正黑体_GBK" w:cs="Times New Roman" w:hint="eastAsia"/>
          <w:bCs/>
          <w:color w:val="000000"/>
        </w:rPr>
        <w:t>四、政府信息公开行政复议、行政诉讼情况</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03"/>
        <w:gridCol w:w="603"/>
        <w:gridCol w:w="603"/>
        <w:gridCol w:w="603"/>
        <w:gridCol w:w="605"/>
        <w:gridCol w:w="603"/>
        <w:gridCol w:w="603"/>
        <w:gridCol w:w="603"/>
        <w:gridCol w:w="603"/>
        <w:gridCol w:w="605"/>
        <w:gridCol w:w="603"/>
        <w:gridCol w:w="603"/>
        <w:gridCol w:w="603"/>
        <w:gridCol w:w="603"/>
        <w:gridCol w:w="607"/>
      </w:tblGrid>
      <w:tr>
        <w:trPr>
          <w:trHeight w:val="284"/>
        </w:trPr>
        <w:tc>
          <w:tcPr>
            <w:tcW w:w="1666" w:type="pct"/>
            <w:gridSpan w:val="5"/>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hint="eastAsia"/>
                <w:b/>
                <w:bCs/>
                <w:color w:val="333333"/>
                <w:sz w:val="24"/>
                <w:szCs w:val="24"/>
              </w:rPr>
            </w:pPr>
            <w:r>
              <w:rPr>
                <w:rFonts w:ascii="宋体" w:eastAsia="宋体" w:hint="eastAsia"/>
                <w:b/>
                <w:bCs/>
                <w:color w:val="333333"/>
                <w:sz w:val="24"/>
                <w:szCs w:val="24"/>
              </w:rPr>
              <w:t>行政复议</w:t>
            </w:r>
          </w:p>
        </w:tc>
        <w:tc>
          <w:tcPr>
            <w:tcW w:w="3333" w:type="pct"/>
            <w:gridSpan w:val="10"/>
            <w:tcBorders>
              <w:top w:val="single" w:sz="4" w:space="0" w:color="auto"/>
              <w:left w:val="single" w:sz="4" w:space="0" w:color="auto"/>
              <w:bottom w:val="single" w:sz="4" w:space="0" w:color="auto"/>
              <w:right w:val="single" w:sz="4" w:space="0" w:color="auto"/>
              <w:tl2br w:val="nil"/>
              <w:tr2bl w:val="nil"/>
            </w:tcBorders>
            <w:noWrap/>
            <w:vAlign w:val="center"/>
          </w:tcPr>
          <w:p>
            <w:pPr>
              <w:adjustRightInd w:val="0"/>
              <w:snapToGrid w:val="0"/>
              <w:spacing w:line="160" w:lineRule="atLeast"/>
              <w:jc w:val="center"/>
              <w:rPr>
                <w:rFonts w:ascii="宋体" w:eastAsia="宋体" w:hint="eastAsia"/>
                <w:b/>
                <w:bCs/>
                <w:color w:val="333333"/>
                <w:sz w:val="24"/>
                <w:szCs w:val="24"/>
              </w:rPr>
            </w:pPr>
            <w:r>
              <w:rPr>
                <w:rFonts w:ascii="宋体" w:eastAsia="宋体" w:hint="eastAsia"/>
                <w:b/>
                <w:bCs/>
                <w:color w:val="333333"/>
                <w:sz w:val="24"/>
                <w:szCs w:val="24"/>
              </w:rPr>
              <w:t>行政诉讼</w:t>
            </w:r>
          </w:p>
        </w:tc>
      </w:tr>
      <w:tr>
        <w:trPr>
          <w:trHeight w:val="284"/>
        </w:trPr>
        <w:tc>
          <w:tcPr>
            <w:tcW w:w="333" w:type="pct"/>
            <w:vMerge w:val="restart"/>
            <w:tcBorders>
              <w:top w:val="single" w:sz="4" w:space="0" w:color="auto"/>
              <w:left w:val="single" w:sz="4" w:space="0" w:color="auto"/>
              <w:bottom w:val="nil"/>
              <w:right w:val="single" w:sz="4"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结果维持</w:t>
            </w:r>
          </w:p>
        </w:tc>
        <w:tc>
          <w:tcPr>
            <w:tcW w:w="333" w:type="pct"/>
            <w:vMerge w:val="restart"/>
            <w:tcBorders>
              <w:top w:val="single" w:sz="4" w:space="0" w:color="auto"/>
              <w:left w:val="single" w:sz="4" w:space="0" w:color="auto"/>
              <w:bottom w:val="nil"/>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结果纠正</w:t>
            </w:r>
          </w:p>
        </w:tc>
        <w:tc>
          <w:tcPr>
            <w:tcW w:w="333" w:type="pct"/>
            <w:vMerge w:val="restart"/>
            <w:tcBorders>
              <w:top w:val="single" w:sz="4" w:space="0" w:color="auto"/>
              <w:left w:val="nil"/>
              <w:bottom w:val="nil"/>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其他结果</w:t>
            </w:r>
          </w:p>
        </w:tc>
        <w:tc>
          <w:tcPr>
            <w:tcW w:w="333" w:type="pct"/>
            <w:vMerge w:val="restart"/>
            <w:tcBorders>
              <w:top w:val="single" w:sz="4" w:space="0" w:color="auto"/>
              <w:left w:val="nil"/>
              <w:bottom w:val="nil"/>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尚未审结</w:t>
            </w:r>
          </w:p>
        </w:tc>
        <w:tc>
          <w:tcPr>
            <w:tcW w:w="333" w:type="pct"/>
            <w:vMerge w:val="restart"/>
            <w:tcBorders>
              <w:top w:val="single" w:sz="4" w:space="0" w:color="auto"/>
              <w:left w:val="nil"/>
              <w:bottom w:val="nil"/>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总计</w:t>
            </w:r>
          </w:p>
        </w:tc>
        <w:tc>
          <w:tcPr>
            <w:tcW w:w="1666" w:type="pct"/>
            <w:gridSpan w:val="5"/>
            <w:tcBorders>
              <w:top w:val="single" w:sz="4" w:space="0" w:color="auto"/>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b/>
                <w:bCs/>
                <w:color w:val="333333"/>
                <w:sz w:val="21"/>
                <w:szCs w:val="21"/>
              </w:rPr>
            </w:pPr>
            <w:r>
              <w:rPr>
                <w:rFonts w:ascii="宋体" w:eastAsia="宋体" w:hint="eastAsia"/>
                <w:b/>
                <w:bCs/>
                <w:color w:val="333333"/>
                <w:sz w:val="21"/>
                <w:szCs w:val="21"/>
              </w:rPr>
              <w:t>未经复议直接起诉</w:t>
            </w:r>
          </w:p>
        </w:tc>
        <w:tc>
          <w:tcPr>
            <w:tcW w:w="1666" w:type="pct"/>
            <w:gridSpan w:val="5"/>
            <w:tcBorders>
              <w:top w:val="single" w:sz="4" w:space="0" w:color="auto"/>
              <w:left w:val="outset" w:sz="6" w:space="0" w:color="auto"/>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b/>
                <w:bCs/>
                <w:color w:val="333333"/>
                <w:sz w:val="21"/>
                <w:szCs w:val="21"/>
              </w:rPr>
            </w:pPr>
            <w:r>
              <w:rPr>
                <w:rFonts w:ascii="宋体" w:eastAsia="宋体" w:hint="eastAsia"/>
                <w:b/>
                <w:bCs/>
                <w:color w:val="333333"/>
                <w:sz w:val="21"/>
                <w:szCs w:val="21"/>
              </w:rPr>
              <w:t>复议后起诉</w:t>
            </w:r>
          </w:p>
        </w:tc>
      </w:tr>
      <w:tr>
        <w:trPr>
          <w:trHeight w:val="284"/>
        </w:trPr>
        <w:tc>
          <w:tcPr>
            <w:tcW w:w="333" w:type="pct"/>
            <w:vMerge/>
            <w:tcBorders>
              <w:top w:val="nil"/>
              <w:left w:val="single" w:sz="4" w:space="0" w:color="auto"/>
              <w:bottom w:val="single" w:sz="4" w:space="0" w:color="auto"/>
              <w:right w:val="single" w:sz="4" w:space="0" w:color="auto"/>
              <w:tl2br w:val="nil"/>
              <w:tr2bl w:val="nil"/>
            </w:tcBorders>
            <w:noWrap/>
            <w:vAlign w:val="center"/>
          </w:tcPr>
          <w:p/>
        </w:tc>
        <w:tc>
          <w:tcPr>
            <w:tcW w:w="333" w:type="pct"/>
            <w:vMerge/>
            <w:tcBorders>
              <w:top w:val="nil"/>
              <w:left w:val="single" w:sz="4" w:space="0" w:color="auto"/>
              <w:bottom w:val="outset" w:sz="6" w:space="0" w:color="auto"/>
              <w:right w:val="outset" w:sz="6" w:space="0" w:color="auto"/>
              <w:tl2br w:val="nil"/>
              <w:tr2bl w:val="nil"/>
            </w:tcBorders>
            <w:noWrap/>
            <w:vAlign w:val="center"/>
          </w:tcPr>
          <w:p/>
        </w:tc>
        <w:tc>
          <w:tcPr>
            <w:tcW w:w="333" w:type="pct"/>
            <w:vMerge/>
            <w:tcBorders>
              <w:top w:val="nil"/>
              <w:left w:val="nil"/>
              <w:bottom w:val="outset" w:sz="6" w:space="0" w:color="auto"/>
              <w:right w:val="outset" w:sz="6" w:space="0" w:color="auto"/>
              <w:tl2br w:val="nil"/>
              <w:tr2bl w:val="nil"/>
            </w:tcBorders>
            <w:noWrap/>
            <w:vAlign w:val="center"/>
          </w:tcPr>
          <w:p/>
        </w:tc>
        <w:tc>
          <w:tcPr>
            <w:tcW w:w="333" w:type="pct"/>
            <w:vMerge/>
            <w:tcBorders>
              <w:top w:val="nil"/>
              <w:left w:val="nil"/>
              <w:bottom w:val="outset" w:sz="6" w:space="0" w:color="auto"/>
              <w:right w:val="outset" w:sz="6" w:space="0" w:color="auto"/>
              <w:tl2br w:val="nil"/>
              <w:tr2bl w:val="nil"/>
            </w:tcBorders>
            <w:noWrap/>
            <w:vAlign w:val="center"/>
          </w:tcPr>
          <w:p/>
        </w:tc>
        <w:tc>
          <w:tcPr>
            <w:tcW w:w="333" w:type="pct"/>
            <w:vMerge/>
            <w:tcBorders>
              <w:top w:val="nil"/>
              <w:left w:val="nil"/>
              <w:bottom w:val="outset" w:sz="6" w:space="0" w:color="auto"/>
              <w:right w:val="outset" w:sz="6" w:space="0" w:color="auto"/>
              <w:tl2br w:val="nil"/>
              <w:tr2bl w:val="nil"/>
            </w:tcBorders>
            <w:noWrap/>
            <w:vAlign w:val="center"/>
          </w:tcP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结果维持</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结果纠正</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其他结果</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尚未审结</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总计</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结果维持</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结果纠正</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其他结果</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尚未审结</w:t>
            </w:r>
          </w:p>
        </w:tc>
        <w:tc>
          <w:tcPr>
            <w:tcW w:w="333" w:type="pct"/>
            <w:tcBorders>
              <w:top w:val="nil"/>
              <w:left w:val="nil"/>
              <w:bottom w:val="outset" w:sz="6" w:space="0" w:color="auto"/>
              <w:right w:val="outset" w:sz="6" w:space="0" w:color="auto"/>
              <w:tl2br w:val="nil"/>
              <w:tr2bl w:val="nil"/>
            </w:tcBorders>
            <w:noWrap/>
            <w:vAlign w:val="center"/>
          </w:tcPr>
          <w:p>
            <w:pPr>
              <w:adjustRightInd w:val="0"/>
              <w:snapToGrid w:val="0"/>
              <w:spacing w:line="160" w:lineRule="atLeast"/>
              <w:jc w:val="center"/>
              <w:rPr>
                <w:rFonts w:ascii="宋体" w:eastAsia="宋体" w:hint="eastAsia"/>
                <w:color w:val="333333"/>
                <w:sz w:val="21"/>
                <w:szCs w:val="21"/>
              </w:rPr>
            </w:pPr>
            <w:r>
              <w:rPr>
                <w:rFonts w:ascii="宋体" w:eastAsia="宋体" w:hint="eastAsia"/>
                <w:color w:val="333333"/>
                <w:sz w:val="21"/>
                <w:szCs w:val="21"/>
              </w:rPr>
              <w:t>总计</w:t>
            </w:r>
          </w:p>
        </w:tc>
      </w:tr>
      <w:tr>
        <w:trPr>
          <w:trHeight w:val="284"/>
        </w:trPr>
        <w:tc>
          <w:tcPr>
            <w:tcW w:w="333" w:type="pct"/>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c>
          <w:tcPr>
            <w:tcW w:w="333" w:type="pct"/>
            <w:tcBorders>
              <w:top w:val="nil"/>
              <w:left w:val="nil"/>
              <w:bottom w:val="outset" w:sz="6" w:space="0" w:color="auto"/>
              <w:right w:val="outset" w:sz="6" w:space="0" w:color="auto"/>
              <w:tl2br w:val="nil"/>
              <w:tr2bl w:val="nil"/>
            </w:tcBorders>
            <w:noWrap/>
            <w:vAlign w:val="center"/>
          </w:tcPr>
          <w:p>
            <w:pPr>
              <w:jc w:val="center"/>
              <w:rPr>
                <w:rFonts w:ascii="宋体" w:eastAsia="宋体" w:cs="宋体"/>
                <w:color w:val="333333"/>
                <w:sz w:val="22"/>
                <w:u w:val="none"/>
              </w:rPr>
            </w:pPr>
            <w:r>
              <w:rPr>
                <w:rFonts w:ascii="宋体" w:eastAsia="宋体" w:cs="宋体"/>
                <w:color w:val="333333"/>
                <w:sz w:val="22"/>
                <w:u w:val="none"/>
              </w:rPr>
              <w:t>0</w:t>
            </w:r>
          </w:p>
        </w:tc>
      </w:tr>
    </w:tbl>
    <w:p>
      <w:pPr>
        <w:adjustRightInd w:val="0"/>
        <w:snapToGrid w:val="0"/>
        <w:spacing w:line="560" w:lineRule="exact"/>
        <w:ind w:firstLineChars="200" w:firstLine="632"/>
        <w:jc w:val="left"/>
        <w:rPr>
          <w:rStyle w:val="0"/>
          <w:rFonts w:ascii="方正黑体_GBK" w:eastAsia="方正黑体_GBK" w:cs="Times New Roman" w:hint="eastAsia"/>
          <w:bCs/>
          <w:color w:val="000000"/>
        </w:rPr>
      </w:pPr>
      <w:r>
        <w:rPr>
          <w:rStyle w:val="0"/>
          <w:rFonts w:ascii="方正黑体_GBK" w:eastAsia="方正黑体_GBK" w:cs="Times New Roman" w:hint="eastAsia"/>
          <w:bCs/>
          <w:color w:val="000000"/>
        </w:rPr>
        <w:t>五、存在的主要问题及</w:t>
      </w:r>
      <w:r>
        <w:rPr>
          <w:rStyle w:val="0"/>
          <w:rFonts w:ascii="方正黑体_GBK" w:eastAsia="方正黑体_GBK" w:cs="Times New Roman"/>
          <w:bCs/>
          <w:color w:val="000000"/>
        </w:rPr>
        <w:t>改进情况</w:t>
      </w:r>
    </w:p>
    <w:p>
      <w:pPr>
        <w:pStyle w:val="49"/>
        <w:adjustRightInd w:val="0"/>
        <w:snapToGrid w:val="0"/>
        <w:spacing w:line="560" w:lineRule="exact"/>
        <w:ind w:firstLineChars="200" w:firstLine="632"/>
        <w:rPr>
          <w:rFonts w:ascii="Times New Roman" w:eastAsia="方正仿宋_GBK" w:hAnsi="Times New Roman" w:hint="eastAsia"/>
          <w:color w:val="auto"/>
          <w:spacing w:val="0"/>
          <w:sz w:val="32"/>
          <w:szCs w:val="22"/>
          <w:u w:val="none"/>
        </w:rPr>
      </w:pPr>
      <w:r>
        <w:rPr>
          <w:rFonts w:ascii="方正楷体_GBK" w:eastAsia="方正楷体_GBK" w:hint="eastAsia"/>
        </w:rPr>
        <w:t>（一）2024年年报中所提问题整改情况。</w:t>
      </w:r>
      <w:r>
        <w:rPr>
          <w:rFonts w:ascii="Times New Roman" w:eastAsia="方正仿宋_GBK" w:hAnsi="Times New Roman" w:hint="eastAsia"/>
          <w:color w:val="auto"/>
          <w:spacing w:val="0"/>
          <w:sz w:val="32"/>
          <w:szCs w:val="22"/>
          <w:u w:val="none"/>
        </w:rPr>
        <w:t>针对2024年我关在青岛海关门户网站发布的个别主动公开信息存在录入不规范问题。我关严格按照相关通知要求</w:t>
      </w:r>
      <w:r>
        <w:rPr>
          <w:rFonts w:ascii="Times New Roman" w:eastAsia="方正仿宋_GBK" w:hAnsi="Times New Roman"/>
          <w:color w:val="auto"/>
          <w:spacing w:val="0"/>
          <w:sz w:val="32"/>
          <w:szCs w:val="22"/>
          <w:u w:val="none"/>
        </w:rPr>
        <w:t>，明确公开格式和要素内容，并</w:t>
      </w:r>
      <w:r>
        <w:rPr>
          <w:rFonts w:ascii="Times New Roman" w:eastAsia="方正仿宋_GBK" w:hAnsi="Times New Roman" w:hint="eastAsia"/>
          <w:color w:val="auto"/>
          <w:spacing w:val="0"/>
          <w:sz w:val="32"/>
          <w:szCs w:val="22"/>
          <w:u w:val="none"/>
        </w:rPr>
        <w:t>加强统筹协调，持续加大监督力度，不断提升我关政务公开标准化规范化工作。</w:t>
      </w:r>
    </w:p>
    <w:p>
      <w:pPr>
        <w:pStyle w:val="49"/>
        <w:adjustRightInd w:val="0"/>
        <w:snapToGrid w:val="0"/>
        <w:spacing w:line="560" w:lineRule="exact"/>
        <w:ind w:firstLineChars="200" w:firstLine="632"/>
        <w:rPr>
          <w:rFonts w:hint="eastAsia"/>
        </w:rPr>
      </w:pPr>
      <w:r>
        <w:rPr>
          <w:rFonts w:ascii="方正楷体_GBK" w:eastAsia="方正楷体_GBK" w:hint="eastAsia"/>
        </w:rPr>
        <w:t>（二）目前存在问题。</w:t>
      </w:r>
      <w:r>
        <w:rPr>
          <w:rFonts w:hint="eastAsia"/>
        </w:rPr>
        <w:t>政务公开内容与社会公众的实际需求匹配度有待提升，</w:t>
      </w:r>
      <w:r>
        <w:t>需在实际工作中多维发力，</w:t>
      </w:r>
      <w:r>
        <w:rPr>
          <w:rFonts w:hint="eastAsia"/>
        </w:rPr>
        <w:t>逐步提升政</w:t>
      </w:r>
      <w:r>
        <w:t>府</w:t>
      </w:r>
      <w:r>
        <w:rPr>
          <w:rFonts w:hint="eastAsia"/>
        </w:rPr>
        <w:t>信息公开的针对性和有效性。</w:t>
      </w:r>
    </w:p>
    <w:p>
      <w:pPr>
        <w:adjustRightInd w:val="0"/>
        <w:snapToGrid w:val="0"/>
        <w:spacing w:line="560" w:lineRule="exact"/>
        <w:ind w:firstLineChars="200" w:firstLine="632"/>
        <w:jc w:val="left"/>
        <w:rPr>
          <w:rStyle w:val="0"/>
          <w:rFonts w:ascii="方正黑体_GBK" w:eastAsia="方正黑体_GBK" w:cs="Times New Roman" w:hint="eastAsia"/>
          <w:bCs/>
          <w:color w:val="000000"/>
        </w:rPr>
      </w:pPr>
      <w:r>
        <w:rPr>
          <w:rStyle w:val="0"/>
          <w:rFonts w:ascii="方正黑体_GBK" w:eastAsia="方正黑体_GBK" w:cs="Times New Roman" w:hint="eastAsia"/>
          <w:bCs/>
          <w:color w:val="000000"/>
        </w:rPr>
        <w:t>六、其他需要报告的事项</w:t>
      </w:r>
    </w:p>
    <w:p>
      <w:pPr>
        <w:pStyle w:val="49"/>
        <w:adjustRightInd w:val="0"/>
        <w:snapToGrid w:val="0"/>
        <w:spacing w:line="560" w:lineRule="exact"/>
        <w:ind w:firstLineChars="200" w:firstLine="632"/>
        <w:rPr>
          <w:rFonts w:hint="eastAsia"/>
          <w:snapToGrid w:val="0"/>
        </w:rPr>
      </w:pPr>
      <w:r>
        <w:rPr>
          <w:rFonts w:hint="eastAsia"/>
          <w:snapToGrid w:val="0"/>
        </w:rPr>
        <w:t>2025年，青岛大港海关未收取信息处理费。</w:t>
      </w:r>
    </w:p>
    <w:sectPr>
      <w:footerReference w:type="default" r:id="rId2"/>
      <w:pgSz w:w="11907" w:h="16840"/>
      <w:pgMar w:top="2098" w:right="1474" w:bottom="1985" w:left="1588" w:header="1814" w:footer="1474" w:gutter="0"/>
      <w:pgNumType w:start="0"/>
      <w:titlePg/>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altName w:val="Arial Unicode MS"/>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7"/>
    <w:basedOn w:val="0"/>
    <w:autoRedefine/>
    <w:next w:val="0"/>
    <w:pPr>
      <w:ind w:left="2520"/>
    </w:pPr>
  </w:style>
  <w:style w:type="paragraph" w:styleId="16">
    <w:name w:val="toc 2"/>
    <w:basedOn w:val="0"/>
    <w:autoRedefine/>
    <w:next w:val="0"/>
    <w:pPr>
      <w:ind w:left="420"/>
    </w:p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character" w:styleId="19">
    <w:name w:val="Hyperlink"/>
    <w:rPr>
      <w:color w:val="0000FF"/>
      <w:u w:val="single"/>
    </w:rPr>
  </w:style>
  <w:style w:type="character" w:styleId="20">
    <w:name w:val="FollowedHyperlink"/>
    <w:basedOn w:val="10"/>
    <w:rPr>
      <w:color w:val="800080"/>
      <w:u w:val="single"/>
    </w:rPr>
  </w:style>
  <w:style w:type="character" w:styleId="21">
    <w:name w:val="Strong"/>
    <w:rPr>
      <w:b/>
    </w:rPr>
  </w:style>
  <w:style w:type="paragraph" w:styleId="22">
    <w:name w:val="Normal (Web)"/>
    <w:next w:val="15"/>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3">
    <w:name w:val="样式 425 三号"/>
    <w:pPr>
      <w:widowControl w:val="0"/>
      <w:spacing w:line="578" w:lineRule="exact"/>
      <w:jc w:val="both"/>
    </w:pPr>
    <w:rPr>
      <w:rFonts w:ascii="Times New Roman" w:eastAsia="方正仿宋_GBK" w:cs="Times New Roman" w:hAnsi="Times New Roman"/>
      <w:sz w:val="32"/>
      <w:szCs w:val="32"/>
      <w:lang w:val="en-US" w:eastAsia="en-US" w:bidi="ar-SA"/>
    </w:rPr>
  </w:style>
  <w:style w:type="paragraph" w:customStyle="1" w:styleId="24">
    <w:name w:val="样式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5">
    <w:name w:val="样式 1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6">
    <w:name w:val="样式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27">
    <w:name w:val="样式 2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28">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29">
    <w:name w:val="样式 4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30">
    <w:name w:val="样式 5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31">
    <w:name w:val="样式 6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32">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33">
    <w:name w:val="样式 1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4">
    <w:name w:val="样式 2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5">
    <w:name w:val="样式 3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6">
    <w:name w:val="样式 4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7">
    <w:name w:val="样式 5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8">
    <w:name w:val="样式 6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39">
    <w:name w:val="样式 7 三号"/>
    <w:next w:val="4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0">
    <w:name w:val="样式 8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1">
    <w:name w:val="样式 9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2">
    <w:name w:val="样式 10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3">
    <w:name w:val="样式 11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4">
    <w:name w:val="样式 12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5">
    <w:name w:val="样式 13 三号"/>
    <w:pPr>
      <w:widowControl w:val="0"/>
      <w:spacing w:line="240" w:lineRule="auto"/>
      <w:jc w:val="both"/>
    </w:pPr>
    <w:rPr>
      <w:rFonts w:ascii="Times New Roman" w:eastAsia="宋体" w:cs="Times New Roman" w:hAnsi="Times New Roman"/>
      <w:snapToGrid w:val="0"/>
      <w:kern w:val="0"/>
      <w:sz w:val="32"/>
      <w:szCs w:val="32"/>
      <w:lang w:val="en-US" w:eastAsia="zh-CN" w:bidi="ar-SA"/>
    </w:rPr>
  </w:style>
  <w:style w:type="paragraph" w:customStyle="1" w:styleId="46">
    <w:name w:val="样式 14 三号"/>
    <w:pPr>
      <w:widowControl w:val="0"/>
      <w:spacing w:line="578" w:lineRule="exact"/>
      <w:jc w:val="both"/>
    </w:pPr>
    <w:rPr>
      <w:rFonts w:ascii="Times New Roman" w:eastAsia="方正仿宋_GBK" w:cs="Times New Roman" w:hAnsi="Times New Roman"/>
      <w:sz w:val="32"/>
      <w:szCs w:val="32"/>
      <w:lang w:val="en-US" w:eastAsia="en-US" w:bidi="ar-SA"/>
    </w:rPr>
  </w:style>
  <w:style w:type="paragraph" w:customStyle="1" w:styleId="47">
    <w:name w:val="样式 50 三号"/>
    <w:next w:val="2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8">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1">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67</TotalTime>
  <Application>Yozo_Office</Application>
  <Pages>1</Pages>
  <Words>10</Words>
  <Characters>10</Characters>
  <Lines>1</Lines>
  <Paragraphs>0</Paragraphs>
  <CharactersWithSpaces>10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谢晓丽</dc:creator>
  <cp:lastModifiedBy>赵宏博</cp:lastModifiedBy>
  <cp:revision>1</cp:revision>
  <dcterms:created xsi:type="dcterms:W3CDTF">2026-01-20T01:55:44Z</dcterms:created>
  <dcterms:modified xsi:type="dcterms:W3CDTF">2026-01-28T02:26:00Z</dcterms:modified>
</cp:coreProperties>
</file>