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jc w:val="center"/>
        <w:rPr>
          <w:rFonts w:ascii="Times New Roman" w:eastAsia="方正小标宋_GBK" w:cs="Times New Roman" w:hAnsi="Times New Roman"/>
          <w:b w:val="0"/>
          <w:bCs w:val="0"/>
          <w:color w:val="1F2329"/>
          <w:sz w:val="44"/>
          <w:szCs w:val="44"/>
        </w:rPr>
      </w:pPr>
      <w:r>
        <w:rPr>
          <w:rFonts w:ascii="Times New Roman" w:eastAsia="方正小标宋_GBK" w:cs="Times New Roman" w:hAnsi="Times New Roman"/>
          <w:b w:val="0"/>
          <w:bCs w:val="0"/>
          <w:color w:val="1F2329"/>
          <w:sz w:val="44"/>
          <w:szCs w:val="44"/>
        </w:rPr>
        <w:t>青岛邮局海关2025年政府信息公开</w:t>
      </w:r>
    </w:p>
    <w:p>
      <w:pPr>
        <w:pStyle w:val="1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jc w:val="center"/>
        <w:rPr>
          <w:rFonts w:ascii="Times New Roman" w:eastAsia="方正小标宋_GBK" w:cs="Times New Roman" w:hAnsi="Times New Roman"/>
          <w:b w:val="0"/>
          <w:bCs w:val="0"/>
          <w:color w:val="1F2329"/>
          <w:sz w:val="44"/>
          <w:szCs w:val="44"/>
        </w:rPr>
      </w:pPr>
      <w:r>
        <w:rPr>
          <w:rFonts w:ascii="Times New Roman" w:eastAsia="方正小标宋_GBK" w:cs="Times New Roman" w:hAnsi="Times New Roman"/>
          <w:b w:val="0"/>
          <w:bCs w:val="0"/>
          <w:color w:val="1F2329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jc w:val="both"/>
      </w:pP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本报告根据《中华人民共和国政府信息公开条例》《国务院办公厅政府信息与政务公开办公室关于印发〈中华人民共和国政府信息公开工作年度报告格式〉的通知》（国办公开办函〔2021〕30号）等有关规定，总结2025年青岛邮局海关政府信息公开工作情况编制而成。报告中所列数据的统计期限自2025年1月1日起至2025年12月31日止。如对本报告有任何疑问，请与青岛邮局海关办公室联系（地址：青岛市城阳区云河路4号，邮政编码：266108，联系电话：0532-82956926，电子信箱：qdyjhg_zwgk@customs.gov.cn）。</w:t>
      </w:r>
    </w:p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黑体_GBK" w:eastAsia="方正黑体_GBK" w:cs="Times New Roman" w:hint="eastAsia"/>
          <w:b w:val="0"/>
          <w:bCs w:val="0"/>
          <w:color w:val="1F2329"/>
          <w:sz w:val="32"/>
          <w:szCs w:val="32"/>
        </w:rPr>
      </w:pPr>
      <w:r>
        <w:rPr>
          <w:rFonts w:ascii="方正黑体_GBK" w:eastAsia="方正黑体_GBK" w:cs="Times New Roman" w:hint="eastAsia"/>
          <w:b w:val="0"/>
          <w:bCs w:val="0"/>
          <w:color w:val="1F2329"/>
          <w:sz w:val="32"/>
          <w:szCs w:val="32"/>
        </w:rPr>
        <w:t>一、总体情况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2025年，青岛邮局海关以习近平新时代中国特色社会主义思想为指导，严格落实总署、总关政务公开工作部署，紧扣寄递监管特色，全面推进政务公开标准化规范化建设，各项工作取得显著成效。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right="0" w:firstLineChars="200" w:firstLine="640"/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在基层政务公开标准化规范化落实方面，对照《海关领域基层政务公开标准指引》，不断完善《青岛邮局海关政务公开标准目录》，</w:t>
      </w:r>
      <w:r>
        <w:rPr>
          <w:rFonts w:ascii="Times New Roman" w:eastAsia="方正仿宋_GBK" w:cs="Times New Roman" w:hAnsi="Times New Roman" w:hint="eastAsia"/>
          <w:color w:val="1F2329"/>
          <w:sz w:val="32"/>
          <w:szCs w:val="32"/>
        </w:rPr>
        <w:t>明确公开内容、时限和责任科室，属于主动公开范围的事项及时、高效、规范进行公开</w:t>
      </w:r>
      <w:r>
        <w:rPr>
          <w:rFonts w:ascii="Times New Roman" w:eastAsia="方正仿宋_GBK" w:cs="Times New Roman" w:hAnsi="Times New Roman"/>
          <w:color w:val="1F2329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实现公开事项与业务流程深度融合。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主动公开工作持续深化，聚焦公众关切的通关流程、税收政策、禁限物品管理规定等重点内容，通过多渠道主动公开信息210余条，其中政策解读类信息42条，典型案例通报18条，切实提升信息公开的针对性和实用性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依申请公开规范高效，优化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“接收—登记—会商—答复—归档”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全流程闭环管理，畅通现场、信函、邮箱等多元申请渠道，建立复杂申请多部门会商机制，联合法制、业务科室开展合规审查。2025年未收到政府信息公开申请。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政府信息管理不断强化，建立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“月度自查+季度抽查”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机制，对公开信息开展合规性、准确性核查，清理过期失效信息35条，更新动态信息78条，确保公开信息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“鲜活有效”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；严格遵守政府信息公开保密审查要求，细化审查流程，全年未发生信息泄露问题。</w:t>
      </w:r>
    </w:p>
    <w:p>
      <w:pPr>
        <w:pStyle w:val="17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平台建设持续升级，</w:t>
      </w:r>
      <w:r>
        <w:rPr>
          <w:rFonts w:ascii="Times New Roman" w:eastAsia="方正仿宋_GBK" w:cs="仿宋_GB2312" w:hAnsi="Times New Roman" w:hint="eastAsia"/>
          <w:sz w:val="32"/>
          <w:szCs w:val="32"/>
          <w:lang w:bidi="ar-SA"/>
        </w:rPr>
        <w:t>创新运用DeepSeek、自然语言语音处理等大模型技术，建设智能问答“邮小枫”，实现一键语音提问、智能分析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 w:bidi="ar-SA"/>
        </w:rPr>
        <w:t>服务的智慧通关场景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；线下升级通关大厅政务公开专区，增设智能查询终端2台、寄递业务咨询专窗1个，整合办事指南、申请模板等资料，实现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“一站式”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公开服务。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监督保障全面加强，将政务公开工作纳入年度考核，开展专项督查2次，通报整改问题8项；依托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“邮关讲堂”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开展专题培训4期，覆盖全关80余人次，邀请专家开展复杂申请处置实训，提升工作人员专业能力。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工作亮点突出，</w:t>
      </w:r>
      <w:r>
        <w:rPr>
          <w:rFonts w:ascii="Times New Roman" w:eastAsia="方正仿宋_GBK" w:cs="Times New Roman" w:hAnsi="Times New Roman" w:hint="eastAsia"/>
          <w:color w:val="1F2329"/>
          <w:sz w:val="32"/>
          <w:szCs w:val="32"/>
        </w:rPr>
        <w:t>搭建“基于</w:t>
      </w:r>
      <w:r>
        <w:rPr>
          <w:rFonts w:ascii="Times New Roman" w:eastAsia="方正仿宋_GBK" w:cs="Times New Roman" w:hAnsi="Times New Roman"/>
          <w:color w:val="1F2329"/>
          <w:sz w:val="32"/>
          <w:szCs w:val="32"/>
        </w:rPr>
        <w:t>AI</w:t>
      </w:r>
      <w:r>
        <w:rPr>
          <w:rFonts w:ascii="Times New Roman" w:eastAsia="方正仿宋_GBK" w:cs="Times New Roman" w:hAnsi="Times New Roman" w:hint="eastAsia"/>
          <w:color w:val="1F2329"/>
          <w:sz w:val="32"/>
          <w:szCs w:val="32"/>
        </w:rPr>
        <w:t>大模型的智慧关员助手”场景。丰富知识储备，在群众服务知识库基础上，新增</w:t>
      </w:r>
      <w:r>
        <w:rPr>
          <w:rFonts w:ascii="Times New Roman" w:eastAsia="方正仿宋_GBK" w:cs="Times New Roman" w:hAnsi="Times New Roman"/>
          <w:color w:val="1F2329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color w:val="1F2329"/>
          <w:sz w:val="32"/>
          <w:szCs w:val="32"/>
        </w:rPr>
        <w:t>个法规文件、</w:t>
      </w:r>
      <w:r>
        <w:rPr>
          <w:rFonts w:ascii="Times New Roman" w:eastAsia="方正仿宋_GBK" w:cs="Times New Roman" w:hAnsi="Times New Roman"/>
          <w:color w:val="1F2329"/>
          <w:sz w:val="32"/>
          <w:szCs w:val="32"/>
        </w:rPr>
        <w:t>5</w:t>
      </w:r>
      <w:r>
        <w:rPr>
          <w:rFonts w:ascii="Times New Roman" w:eastAsia="方正仿宋_GBK" w:cs="Times New Roman" w:hAnsi="Times New Roman" w:hint="eastAsia"/>
          <w:color w:val="1F2329"/>
          <w:sz w:val="32"/>
          <w:szCs w:val="32"/>
        </w:rPr>
        <w:t>个内部规范、</w:t>
      </w:r>
      <w:r>
        <w:rPr>
          <w:rFonts w:ascii="Times New Roman" w:eastAsia="方正仿宋_GBK" w:cs="Times New Roman" w:hAnsi="Times New Roman"/>
          <w:color w:val="1F2329"/>
          <w:sz w:val="32"/>
          <w:szCs w:val="32"/>
        </w:rPr>
        <w:t>21</w:t>
      </w:r>
      <w:r>
        <w:rPr>
          <w:rFonts w:ascii="Times New Roman" w:eastAsia="方正仿宋_GBK" w:cs="Times New Roman" w:hAnsi="Times New Roman" w:hint="eastAsia"/>
          <w:color w:val="1F2329"/>
          <w:sz w:val="32"/>
          <w:szCs w:val="32"/>
        </w:rPr>
        <w:t>个查获案例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；开展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“政务公开进社区、进网点”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活动6次，现场解答群众咨询100余人次，发放宣传资料1000余份，切实打通政务公开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“最后一公里”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。</w:t>
      </w:r>
    </w:p>
    <w:p>
      <w:pPr>
        <w:pStyle w:val="31"/>
        <w:adjustRightInd w:val="0"/>
        <w:snapToGrid w:val="0"/>
        <w:spacing w:beforeLines="50" w:before="156" w:afterLines="50" w:after="156"/>
        <w:ind w:firstLineChars="200" w:firstLine="624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100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3"/>
        <w:tabs>
          <w:tab w:val="center" w:pos="4153"/>
          <w:tab w:val="right" w:pos="8306"/>
        </w:tabs>
        <w:adjustRightInd/>
        <w:snapToGrid w:val="0"/>
        <w:contextualSpacing w:val="0"/>
      </w:pPr>
    </w:p>
    <w:p>
      <w:pPr>
        <w:pStyle w:val="30"/>
        <w:widowControl/>
        <w:shd w:val="clear" w:color="auto" w:fill="FFFFFF"/>
        <w:adjustRightInd w:val="0"/>
        <w:snapToGrid w:val="0"/>
        <w:spacing w:beforeAutospacing="0" w:afterLines="50" w:after="156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ascii="楷体"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color w:val="auto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30"/>
        <w:widowControl/>
        <w:shd w:val="clear" w:color="auto" w:fill="FFFFFF"/>
        <w:spacing w:beforeLines="50" w:before="156" w:beforeAutospacing="0" w:after="120" w:afterAutospacing="0"/>
        <w:ind w:left="0"/>
        <w:jc w:val="both"/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</w:pPr>
    </w:p>
    <w:p>
      <w:pPr>
        <w:pStyle w:val="30"/>
        <w:widowControl/>
        <w:shd w:val="clear" w:color="auto" w:fill="FFFFFF"/>
        <w:spacing w:beforeLines="50" w:before="156" w:beforeAutospacing="0" w:after="120" w:afterAutospacing="0"/>
        <w:ind w:firstLineChars="200" w:firstLine="640"/>
        <w:jc w:val="both"/>
        <w:rPr>
          <w:rFonts w:ascii="宋体" w:cs="宋体" w:hint="eastAsia"/>
          <w:color w:val="auto"/>
          <w:szCs w:val="24"/>
          <w:lang w:bidi="ar-SA"/>
        </w:rPr>
      </w:pPr>
      <w:bookmarkStart w:id="0" w:name="_GoBack"/>
      <w:bookmarkEnd w:id="0"/>
      <w:r>
        <w:rPr>
          <w:rFonts w:ascii="方正黑体_GBK" w:eastAsia="方正黑体_GBK" w:cs="楷体_GB2312" w:hint="eastAsia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宋体"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left="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 w:firstLineChars="200" w:firstLine="640"/>
        <w:jc w:val="both"/>
        <w:rPr>
          <w:rFonts w:ascii="方正黑体_GBK" w:eastAsia="方正黑体_GBK" w:cs="Times New Roman" w:hint="eastAsia"/>
          <w:b w:val="0"/>
          <w:bCs w:val="0"/>
          <w:color w:val="1F2329"/>
          <w:sz w:val="32"/>
          <w:szCs w:val="32"/>
        </w:rPr>
      </w:pPr>
      <w:r>
        <w:rPr>
          <w:rFonts w:ascii="方正黑体_GBK" w:eastAsia="方正黑体_GBK" w:cs="Times New Roman" w:hint="eastAsia"/>
          <w:b w:val="0"/>
          <w:bCs w:val="0"/>
          <w:color w:val="1F2329"/>
          <w:sz w:val="32"/>
          <w:szCs w:val="32"/>
        </w:rPr>
        <w:t>五、存在的主要问题及改进情况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（一）2024年年报中所提问题整改情况。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针对2024年存在的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“政府信息公开工作经验相对欠缺”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问题，采取三项改进措施：一是建立</w:t>
      </w:r>
      <w:r>
        <w:rPr>
          <w:rFonts w:ascii="方正仿宋_GBK" w:eastAsia="方正仿宋_GBK" w:cs="Times New Roman" w:hint="eastAsia"/>
          <w:color w:val="1F2329"/>
          <w:kern w:val="0"/>
          <w:sz w:val="32"/>
          <w:szCs w:val="32"/>
          <w:lang w:val="en-US" w:eastAsia="zh-CN"/>
        </w:rPr>
        <w:t>“案例库+实训”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模式，收集整理各类公开申请典型案例30个，开展专题研讨4次；二是选派骨干人员到总关跟班学习，参与复杂申请处置，积累实战经验；三是与兄弟海关建立交流机制，开展交叉检查2次，借鉴先进工作方法。通过系列举措，工作人员业务能力显著提升，2025年未出现因答复不当引发的争议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560" w:lineRule="exact"/>
        <w:ind w:left="0" w:right="0" w:firstLineChars="200" w:firstLine="640"/>
        <w:rPr>
          <w:rFonts w:ascii="Times New Roman" w:eastAsia="方正仿宋_GBK" w:cs="Times New Roman" w:hAnsi="Times New Roman"/>
          <w:color w:val="1F2329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（二）目前存在问题。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  <w:lang w:val="en-US" w:eastAsia="zh-CN"/>
        </w:rPr>
        <w:t>一是政务公开内容的精准度有待提升，部分政策解读内容偏理论化，结合寄递业务实际场景的实操指引不足；二是拓展公开渠道力度有待扩大，信息传播覆盖面有限；三是部门协同公开机制不够顺畅，部分跨科室业务信息的收集、审核、发布流程衔接不够高效，存在公开不够及时现象。</w:t>
      </w:r>
    </w:p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 w:firstLineChars="200" w:firstLine="640"/>
        <w:jc w:val="both"/>
        <w:rPr>
          <w:rFonts w:ascii="方正黑体_GBK" w:eastAsia="方正黑体_GBK" w:cs="Times New Roman" w:hint="eastAsia"/>
          <w:b w:val="0"/>
          <w:bCs w:val="0"/>
          <w:color w:val="1F2329"/>
          <w:sz w:val="32"/>
          <w:szCs w:val="32"/>
        </w:rPr>
      </w:pPr>
      <w:r>
        <w:rPr>
          <w:rFonts w:ascii="方正黑体_GBK" w:eastAsia="方正黑体_GBK" w:cs="Times New Roman" w:hint="eastAsia"/>
          <w:b w:val="0"/>
          <w:bCs w:val="0"/>
          <w:color w:val="1F2329"/>
          <w:sz w:val="32"/>
          <w:szCs w:val="32"/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color w:val="1F2329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1F2329"/>
          <w:kern w:val="0"/>
          <w:sz w:val="32"/>
          <w:szCs w:val="32"/>
        </w:rPr>
        <w:t>2025年，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</w:rPr>
        <w:t>青岛邮局</w:t>
      </w:r>
      <w:r>
        <w:rPr>
          <w:rFonts w:ascii="Times New Roman" w:eastAsia="方正仿宋_GBK" w:cs="Times New Roman" w:hAnsi="Times New Roman" w:hint="eastAsia"/>
          <w:color w:val="1F2329"/>
          <w:kern w:val="0"/>
          <w:sz w:val="32"/>
          <w:szCs w:val="32"/>
        </w:rPr>
        <w:t>海关未收取信息处理费</w:t>
      </w:r>
      <w:r>
        <w:rPr>
          <w:rFonts w:ascii="Times New Roman" w:eastAsia="方正仿宋_GBK" w:cs="Times New Roman" w:hAnsi="Times New Roman"/>
          <w:color w:val="1F2329"/>
          <w:kern w:val="0"/>
          <w:sz w:val="32"/>
          <w:szCs w:val="32"/>
        </w:rPr>
        <w:t>。</w:t>
      </w:r>
    </w:p>
    <w:sectPr>
      <w:footerReference w:type="default" r:id="rId2"/>
      <w:footerReference w:type="even" r:id="rId3"/>
      <w:pgSz w:w="11907" w:h="16840"/>
      <w:pgMar w:top="2098" w:right="1588" w:bottom="2098" w:left="1588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3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3"/>
      <w:tabs>
        <w:tab w:val="center" w:pos="4153"/>
        <w:tab w:val="right" w:pos="8306"/>
      </w:tabs>
      <w:ind w:right="360"/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2D8AF40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1">
    <w:nsid w:val="AF346C19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200"/>
        </w:tabs>
        <w:ind w:left="12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10">
    <w:name w:val="Default Paragraph Font"/>
  </w:style>
  <w:style w:type="paragraph" w:styleId="15">
    <w:name w:val="caption"/>
    <w:basedOn w:val="0"/>
    <w:next w:val="0"/>
    <w:rPr>
      <w:rFonts w:ascii="Arial" w:eastAsia="黑体" w:hAnsi="Arial"/>
      <w:b/>
      <w:bCs/>
      <w:sz w:val="20"/>
      <w:szCs w:val="20"/>
    </w:rPr>
  </w:style>
  <w:style w:type="paragraph" w:customStyle="1" w:styleId="16">
    <w:name w:val="表头"/>
    <w:autoRedefine/>
    <w:next w:val="15"/>
    <w:pPr>
      <w:widowControl w:val="0"/>
      <w:spacing w:line="580" w:lineRule="exact"/>
      <w:jc w:val="both"/>
    </w:pPr>
    <w:rPr>
      <w:rFonts w:ascii="方正仿宋_GBK" w:eastAsia="方正仿宋_GBK" w:cs="Times New Roman"/>
      <w:color w:val="000000"/>
      <w:kern w:val="2"/>
      <w:sz w:val="32"/>
      <w:szCs w:val="32"/>
      <w:lang w:val="en-US" w:eastAsia="zh-CN" w:bidi="ar-SA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21">
    <w:name w:val="toc 1"/>
    <w:basedOn w:val="0"/>
    <w:autoRedefine/>
    <w:next w:val="0"/>
  </w:style>
  <w:style w:type="paragraph" w:styleId="22">
    <w:name w:val="toc 5"/>
    <w:basedOn w:val="0"/>
    <w:autoRedefine/>
    <w:next w:val="0"/>
    <w:pPr>
      <w:ind w:left="1680"/>
    </w:pPr>
  </w:style>
  <w:style w:type="paragraph" w:styleId="23">
    <w:name w:val="footer"/>
    <w:next w:val="1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character" w:styleId="24">
    <w:name w:val="page number"/>
    <w:basedOn w:val="10"/>
  </w:style>
  <w:style w:type="paragraph" w:styleId="25">
    <w:name w:val="List 4"/>
    <w:basedOn w:val="0"/>
    <w:pPr>
      <w:ind w:left="1680" w:hanging="420"/>
    </w:pPr>
  </w:style>
  <w:style w:type="paragraph" w:styleId="26">
    <w:name w:val="List Bullet 3"/>
    <w:basedOn w:val="0"/>
    <w:pPr>
      <w:numPr>
        <w:ilvl w:val="0"/>
        <w:numId w:val="1"/>
      </w:numPr>
    </w:pPr>
  </w:style>
  <w:style w:type="paragraph" w:styleId="27">
    <w:name w:val="List Number 3"/>
    <w:basedOn w:val="0"/>
    <w:pPr>
      <w:numPr>
        <w:ilvl w:val="0"/>
        <w:numId w:val="2"/>
      </w:numPr>
    </w:pPr>
  </w:style>
  <w:style w:type="paragraph" w:styleId="28">
    <w:name w:val="Closing"/>
    <w:basedOn w:val="0"/>
    <w:pPr>
      <w:ind w:left="4320"/>
    </w:pPr>
  </w:style>
  <w:style w:type="paragraph" w:styleId="29">
    <w:name w:val="Signature"/>
    <w:basedOn w:val="0"/>
    <w:pPr>
      <w:ind w:left="4320"/>
    </w:pPr>
  </w:style>
  <w:style w:type="paragraph" w:styleId="30">
    <w:name w:val="Normal (Web)"/>
    <w:next w:val="16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31">
    <w:name w:val="样式 50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2">
    <w:name w:val="样式 小三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4">
    <w:name w:val="样式 5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16 小三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8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7 小三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12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4 三号"/>
    <w:next w:val="7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22">
    <w:name w:val="样式 15 三号"/>
    <w:next w:val="7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23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224">
    <w:name w:val="annotation text"/>
    <w:basedOn w:val="0"/>
    <w:pPr>
      <w:jc w:val="left"/>
    </w:pPr>
  </w:style>
  <w:style w:type="paragraph" w:styleId="225">
    <w:name w:val="annotation subject"/>
    <w:basedOn w:val="224"/>
    <w:next w:val="224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70</TotalTime>
  <Application>Yozo_Office</Application>
  <Pages>6</Pages>
  <Words>2332</Words>
  <Characters>2457</Characters>
  <Lines>430</Lines>
  <Paragraphs>307</Paragraphs>
  <CharactersWithSpaces>2457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办公室</dc:creator>
  <cp:lastModifiedBy>赵宏博</cp:lastModifiedBy>
  <cp:revision>0</cp:revision>
  <cp:lastPrinted>2026-01-20T01:20:12Z</cp:lastPrinted>
  <dcterms:created xsi:type="dcterms:W3CDTF">2026-01-10T12:18:00Z</dcterms:created>
  <dcterms:modified xsi:type="dcterms:W3CDTF">2026-01-28T02:28:24Z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eyJoZGlkIjoiODViY2JkMjU3NGYzZTEwMzZmMGFkZWViYmNkYWU3NDIiLCJ1c2VySWQiOiIyNjk4OTcyMzEifQ==</vt:lpwstr>
  </property>
  <property fmtid="{D5CDD505-2E9C-101B-9397-08002B2CF9AE}" pid="4" name="ICV">
    <vt:lpwstr>6670BC48C0744FE3897EB8EAC63D492C_12</vt:lpwstr>
  </property>
</Properties>
</file>